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0C28" w:rsidRPr="006B6F2B" w:rsidRDefault="00CF0C28" w:rsidP="00844C1C">
      <w:pPr>
        <w:spacing w:line="480" w:lineRule="auto"/>
        <w:jc w:val="center"/>
      </w:pPr>
    </w:p>
    <w:p w:rsidR="00823978" w:rsidRPr="006B6F2B" w:rsidRDefault="00823978" w:rsidP="00D20E21">
      <w:pPr>
        <w:spacing w:line="480" w:lineRule="auto"/>
        <w:jc w:val="center"/>
      </w:pPr>
    </w:p>
    <w:p w:rsidR="00823978" w:rsidRPr="006B6F2B" w:rsidRDefault="00823978" w:rsidP="00D20E21">
      <w:pPr>
        <w:spacing w:line="480" w:lineRule="auto"/>
        <w:jc w:val="center"/>
      </w:pPr>
    </w:p>
    <w:p w:rsidR="00823978" w:rsidRPr="006B6F2B" w:rsidRDefault="00823978" w:rsidP="00D20E21">
      <w:pPr>
        <w:spacing w:line="480" w:lineRule="auto"/>
        <w:jc w:val="center"/>
      </w:pPr>
    </w:p>
    <w:p w:rsidR="00823978" w:rsidRPr="006B6F2B" w:rsidRDefault="00823978" w:rsidP="00D20E21">
      <w:pPr>
        <w:spacing w:line="480" w:lineRule="auto"/>
        <w:jc w:val="center"/>
      </w:pPr>
    </w:p>
    <w:p w:rsidR="00CF0C28" w:rsidRPr="006B6F2B" w:rsidRDefault="00CF0C28" w:rsidP="00D20E21">
      <w:pPr>
        <w:spacing w:line="480" w:lineRule="auto"/>
        <w:jc w:val="center"/>
      </w:pPr>
    </w:p>
    <w:p w:rsidR="00CF0C28" w:rsidRPr="006B6F2B" w:rsidRDefault="00CF0C28" w:rsidP="00D20E21">
      <w:pPr>
        <w:spacing w:line="480" w:lineRule="auto"/>
        <w:jc w:val="center"/>
      </w:pPr>
    </w:p>
    <w:p w:rsidR="00CF0C28" w:rsidRPr="006B6F2B" w:rsidRDefault="00CF0C28" w:rsidP="00D20E21">
      <w:pPr>
        <w:spacing w:line="480" w:lineRule="auto"/>
        <w:jc w:val="center"/>
      </w:pPr>
    </w:p>
    <w:p w:rsidR="00CF0C28" w:rsidRPr="006B6F2B" w:rsidRDefault="00CF0C28" w:rsidP="00D20E21">
      <w:pPr>
        <w:spacing w:line="480" w:lineRule="auto"/>
        <w:jc w:val="center"/>
      </w:pPr>
    </w:p>
    <w:p w:rsidR="00CF0C28" w:rsidRPr="006B6F2B" w:rsidRDefault="00922C7C" w:rsidP="00D20E21">
      <w:pPr>
        <w:spacing w:line="480" w:lineRule="auto"/>
        <w:jc w:val="center"/>
      </w:pPr>
      <w:r w:rsidRPr="006B6F2B">
        <w:t>Medication Compliance of</w:t>
      </w:r>
      <w:r w:rsidR="00186D2D" w:rsidRPr="006B6F2B">
        <w:t xml:space="preserve"> the Elderly Population</w:t>
      </w:r>
    </w:p>
    <w:p w:rsidR="00CF0C28" w:rsidRPr="006B6F2B" w:rsidRDefault="00CF0C28" w:rsidP="00D20E21">
      <w:pPr>
        <w:spacing w:line="480" w:lineRule="auto"/>
        <w:jc w:val="center"/>
      </w:pPr>
      <w:proofErr w:type="spellStart"/>
      <w:r w:rsidRPr="006B6F2B">
        <w:t>Hylton</w:t>
      </w:r>
      <w:proofErr w:type="spellEnd"/>
      <w:r w:rsidRPr="006B6F2B">
        <w:t xml:space="preserve"> Clarke, Roman </w:t>
      </w:r>
      <w:proofErr w:type="spellStart"/>
      <w:r w:rsidR="00294109" w:rsidRPr="006B6F2B">
        <w:t>Dzhurayev</w:t>
      </w:r>
      <w:proofErr w:type="spellEnd"/>
      <w:r w:rsidR="00294109" w:rsidRPr="006B6F2B">
        <w:t xml:space="preserve">, Lisa </w:t>
      </w:r>
      <w:proofErr w:type="spellStart"/>
      <w:r w:rsidR="00294109" w:rsidRPr="006B6F2B">
        <w:t>Holsgrove</w:t>
      </w:r>
      <w:proofErr w:type="spellEnd"/>
      <w:r w:rsidR="00294109" w:rsidRPr="006B6F2B">
        <w:t xml:space="preserve">, </w:t>
      </w:r>
      <w:proofErr w:type="spellStart"/>
      <w:r w:rsidR="00294109" w:rsidRPr="006B6F2B">
        <w:t>Issak</w:t>
      </w:r>
      <w:proofErr w:type="spellEnd"/>
      <w:r w:rsidRPr="006B6F2B">
        <w:t xml:space="preserve"> </w:t>
      </w:r>
      <w:proofErr w:type="spellStart"/>
      <w:r w:rsidRPr="006B6F2B">
        <w:t>Katanov</w:t>
      </w:r>
      <w:proofErr w:type="spellEnd"/>
      <w:r w:rsidRPr="006B6F2B">
        <w:t xml:space="preserve">, Angelo </w:t>
      </w:r>
      <w:proofErr w:type="spellStart"/>
      <w:r w:rsidRPr="006B6F2B">
        <w:t>Kis</w:t>
      </w:r>
      <w:r w:rsidR="00294109" w:rsidRPr="006B6F2B">
        <w:t>ielewicz</w:t>
      </w:r>
      <w:proofErr w:type="spellEnd"/>
      <w:r w:rsidR="00294109" w:rsidRPr="006B6F2B">
        <w:t xml:space="preserve">, Marjorie </w:t>
      </w:r>
      <w:proofErr w:type="spellStart"/>
      <w:r w:rsidR="00294109" w:rsidRPr="006B6F2B">
        <w:t>Peguero</w:t>
      </w:r>
      <w:proofErr w:type="spellEnd"/>
      <w:r w:rsidR="00294109" w:rsidRPr="006B6F2B">
        <w:t xml:space="preserve">, </w:t>
      </w:r>
      <w:proofErr w:type="spellStart"/>
      <w:r w:rsidR="00294109" w:rsidRPr="006B6F2B">
        <w:t>Rosme</w:t>
      </w:r>
      <w:r w:rsidRPr="006B6F2B">
        <w:t>ry</w:t>
      </w:r>
      <w:proofErr w:type="spellEnd"/>
      <w:r w:rsidRPr="006B6F2B">
        <w:t xml:space="preserve"> </w:t>
      </w:r>
      <w:proofErr w:type="spellStart"/>
      <w:r w:rsidR="00294109" w:rsidRPr="006B6F2B">
        <w:t>Peña</w:t>
      </w:r>
      <w:proofErr w:type="spellEnd"/>
      <w:r w:rsidRPr="006B6F2B">
        <w:t xml:space="preserve">, Frances </w:t>
      </w:r>
      <w:proofErr w:type="spellStart"/>
      <w:r w:rsidRPr="006B6F2B">
        <w:t>Venuti</w:t>
      </w:r>
      <w:proofErr w:type="spellEnd"/>
    </w:p>
    <w:p w:rsidR="00CF0C28" w:rsidRPr="006B6F2B" w:rsidRDefault="00A21332" w:rsidP="00D20E21">
      <w:pPr>
        <w:spacing w:line="480" w:lineRule="auto"/>
        <w:jc w:val="center"/>
      </w:pPr>
      <w:r w:rsidRPr="006B6F2B">
        <w:t>Pace University</w:t>
      </w:r>
    </w:p>
    <w:p w:rsidR="00CF0C28" w:rsidRPr="006B6F2B" w:rsidRDefault="00CF0C28" w:rsidP="00D20E21">
      <w:pPr>
        <w:spacing w:line="480" w:lineRule="auto"/>
        <w:jc w:val="center"/>
      </w:pPr>
    </w:p>
    <w:p w:rsidR="00CF0C28" w:rsidRPr="006B6F2B" w:rsidRDefault="00CF0C28" w:rsidP="00D20E21">
      <w:pPr>
        <w:spacing w:line="480" w:lineRule="auto"/>
        <w:jc w:val="center"/>
      </w:pPr>
    </w:p>
    <w:p w:rsidR="00CF0C28" w:rsidRPr="006B6F2B" w:rsidRDefault="00CF0C28" w:rsidP="00D20E21">
      <w:pPr>
        <w:spacing w:line="480" w:lineRule="auto"/>
        <w:jc w:val="center"/>
      </w:pPr>
    </w:p>
    <w:p w:rsidR="00CF0C28" w:rsidRPr="006B6F2B" w:rsidRDefault="00CF0C28" w:rsidP="00D20E21">
      <w:pPr>
        <w:spacing w:line="480" w:lineRule="auto"/>
        <w:jc w:val="center"/>
      </w:pPr>
    </w:p>
    <w:p w:rsidR="00CF0C28" w:rsidRPr="006B6F2B" w:rsidRDefault="00CF0C28" w:rsidP="00D20E21">
      <w:pPr>
        <w:spacing w:line="480" w:lineRule="auto"/>
        <w:jc w:val="center"/>
      </w:pPr>
    </w:p>
    <w:p w:rsidR="00CF0C28" w:rsidRPr="006B6F2B" w:rsidRDefault="00CF0C28" w:rsidP="00D20E21">
      <w:pPr>
        <w:spacing w:line="480" w:lineRule="auto"/>
        <w:jc w:val="center"/>
      </w:pPr>
    </w:p>
    <w:p w:rsidR="00CF0C28" w:rsidRPr="006B6F2B" w:rsidRDefault="00CF0C28" w:rsidP="00D20E21">
      <w:pPr>
        <w:spacing w:line="480" w:lineRule="auto"/>
        <w:jc w:val="center"/>
      </w:pPr>
    </w:p>
    <w:p w:rsidR="00CF0C28" w:rsidRPr="006B6F2B" w:rsidRDefault="00CF0C28" w:rsidP="00D20E21">
      <w:pPr>
        <w:spacing w:line="480" w:lineRule="auto"/>
        <w:jc w:val="center"/>
      </w:pPr>
    </w:p>
    <w:p w:rsidR="00CF0C28" w:rsidRPr="006B6F2B" w:rsidRDefault="00CF0C28" w:rsidP="00D20E21">
      <w:pPr>
        <w:spacing w:line="480" w:lineRule="auto"/>
        <w:jc w:val="center"/>
      </w:pPr>
    </w:p>
    <w:p w:rsidR="00A35A5C" w:rsidRPr="006B6F2B" w:rsidRDefault="00A35A5C" w:rsidP="00D20E21">
      <w:pPr>
        <w:spacing w:line="480" w:lineRule="auto"/>
      </w:pPr>
    </w:p>
    <w:p w:rsidR="00CE6BD9" w:rsidRPr="006B6F2B" w:rsidRDefault="00CE6BD9" w:rsidP="00D20E21">
      <w:pPr>
        <w:spacing w:line="480" w:lineRule="auto"/>
        <w:jc w:val="center"/>
      </w:pPr>
      <w:r w:rsidRPr="006B6F2B">
        <w:lastRenderedPageBreak/>
        <w:t>Abstract</w:t>
      </w:r>
    </w:p>
    <w:p w:rsidR="00BB1B37" w:rsidRPr="006B6F2B" w:rsidRDefault="00BB1B37" w:rsidP="00D20E21">
      <w:pPr>
        <w:spacing w:line="480" w:lineRule="auto"/>
      </w:pPr>
      <w:r w:rsidRPr="006B6F2B">
        <w:t>In th</w:t>
      </w:r>
      <w:r w:rsidR="00E55BDF" w:rsidRPr="006B6F2B">
        <w:t>e United States there are over seven</w:t>
      </w:r>
      <w:r w:rsidR="00922C7C" w:rsidRPr="006B6F2B">
        <w:t xml:space="preserve"> million elderly</w:t>
      </w:r>
      <w:r w:rsidRPr="006B6F2B">
        <w:t xml:space="preserve"> adults who live within the co</w:t>
      </w:r>
      <w:r w:rsidR="00B077F7" w:rsidRPr="006B6F2B">
        <w:t>mmunity and utilize home health</w:t>
      </w:r>
      <w:r w:rsidRPr="006B6F2B">
        <w:t xml:space="preserve">care services. This number is expected to </w:t>
      </w:r>
      <w:r w:rsidR="00922C7C" w:rsidRPr="006B6F2B">
        <w:t>escalate</w:t>
      </w:r>
      <w:r w:rsidRPr="006B6F2B">
        <w:t xml:space="preserve"> </w:t>
      </w:r>
      <w:r w:rsidR="00922C7C" w:rsidRPr="006B6F2B">
        <w:t>in</w:t>
      </w:r>
      <w:r w:rsidRPr="006B6F2B">
        <w:t xml:space="preserve"> the upcoming years. </w:t>
      </w:r>
      <w:r w:rsidR="003E5CAB" w:rsidRPr="006B6F2B">
        <w:t>As a result, the number of community dwelling patients wi</w:t>
      </w:r>
      <w:r w:rsidR="0002444F">
        <w:t xml:space="preserve">th chronic diseases will expand, </w:t>
      </w:r>
      <w:r w:rsidR="003E5CAB" w:rsidRPr="006B6F2B">
        <w:t xml:space="preserve">as will the amount of prescriptions needed to treat these conditions. </w:t>
      </w:r>
      <w:proofErr w:type="gramStart"/>
      <w:r w:rsidR="003E5CAB" w:rsidRPr="006B6F2B">
        <w:t>This reality forces healthcare providers</w:t>
      </w:r>
      <w:proofErr w:type="gramEnd"/>
      <w:r w:rsidR="003E5CAB" w:rsidRPr="006B6F2B">
        <w:t xml:space="preserve"> to consider problems that may arise, including</w:t>
      </w:r>
      <w:r w:rsidRPr="006B6F2B">
        <w:rPr>
          <w:highlight w:val="yellow"/>
        </w:rPr>
        <w:t xml:space="preserve"> </w:t>
      </w:r>
      <w:r w:rsidR="003E5CAB" w:rsidRPr="006B6F2B">
        <w:t>poly-pharmacy and increased prevalence of medication errors</w:t>
      </w:r>
      <w:r w:rsidR="0002444F">
        <w:t>,</w:t>
      </w:r>
      <w:r w:rsidR="003E5CAB" w:rsidRPr="006B6F2B">
        <w:t xml:space="preserve"> including drug</w:t>
      </w:r>
      <w:r w:rsidRPr="006B6F2B">
        <w:t xml:space="preserve"> omissions, </w:t>
      </w:r>
      <w:r w:rsidR="00186D2D" w:rsidRPr="006B6F2B">
        <w:t xml:space="preserve">late administration and </w:t>
      </w:r>
      <w:r w:rsidRPr="006B6F2B">
        <w:t>taking medication</w:t>
      </w:r>
      <w:r w:rsidR="00186D2D" w:rsidRPr="006B6F2B">
        <w:t>s without orders</w:t>
      </w:r>
      <w:r w:rsidRPr="006B6F2B">
        <w:t>. This paper evaluates the effectiven</w:t>
      </w:r>
      <w:r w:rsidR="00E55BDF" w:rsidRPr="006B6F2B">
        <w:t>ess of the use of organizers,</w:t>
      </w:r>
      <w:r w:rsidRPr="006B6F2B">
        <w:t xml:space="preserve"> cues </w:t>
      </w:r>
      <w:r w:rsidR="00E55BDF" w:rsidRPr="006B6F2B">
        <w:t xml:space="preserve">and interventions </w:t>
      </w:r>
      <w:r w:rsidRPr="006B6F2B">
        <w:t xml:space="preserve">to improve adherence to medication </w:t>
      </w:r>
      <w:r w:rsidR="0002444F">
        <w:t>regimens</w:t>
      </w:r>
      <w:r w:rsidR="00E55BDF" w:rsidRPr="006B6F2B">
        <w:t>. The literature that</w:t>
      </w:r>
      <w:r w:rsidR="0002444F">
        <w:t xml:space="preserve"> was</w:t>
      </w:r>
      <w:r w:rsidRPr="006B6F2B">
        <w:t xml:space="preserve"> used as th</w:t>
      </w:r>
      <w:r w:rsidR="00E55BDF" w:rsidRPr="006B6F2B">
        <w:t>e basis of this research consisted of</w:t>
      </w:r>
      <w:r w:rsidRPr="006B6F2B">
        <w:t xml:space="preserve"> a series of systematic reviews, meta-analysis</w:t>
      </w:r>
      <w:r w:rsidR="0002444F">
        <w:t>,</w:t>
      </w:r>
      <w:r w:rsidRPr="006B6F2B">
        <w:t xml:space="preserve"> and</w:t>
      </w:r>
      <w:r w:rsidR="00E55BDF" w:rsidRPr="006B6F2B">
        <w:t xml:space="preserve"> randomized control trials that analyzed the use of</w:t>
      </w:r>
      <w:r w:rsidRPr="006B6F2B">
        <w:t xml:space="preserve"> pillboxes, prepackaged medications</w:t>
      </w:r>
      <w:r w:rsidR="0002444F">
        <w:t>,</w:t>
      </w:r>
      <w:r w:rsidRPr="006B6F2B">
        <w:t xml:space="preserve"> and telephone cues in groups of older adults. </w:t>
      </w:r>
      <w:r w:rsidR="00922C7C" w:rsidRPr="006B6F2B">
        <w:t xml:space="preserve">The data collected was relevant to the </w:t>
      </w:r>
      <w:r w:rsidR="003E5CAB" w:rsidRPr="006B6F2B">
        <w:t xml:space="preserve">PICO question: </w:t>
      </w:r>
      <w:r w:rsidR="006765A0" w:rsidRPr="006B6F2B">
        <w:t>What interventions can be implemented by community nurses to improve medication compliance in the elderly population? O</w:t>
      </w:r>
      <w:r w:rsidRPr="006B6F2B">
        <w:t xml:space="preserve">ne review </w:t>
      </w:r>
      <w:r w:rsidR="006765A0" w:rsidRPr="006B6F2B">
        <w:t xml:space="preserve">used follow-up phone </w:t>
      </w:r>
      <w:r w:rsidRPr="006B6F2B">
        <w:t>call</w:t>
      </w:r>
      <w:r w:rsidR="0002444F">
        <w:t>s whereas</w:t>
      </w:r>
      <w:r w:rsidR="006765A0" w:rsidRPr="006B6F2B">
        <w:t xml:space="preserve"> others used surveys and self reporting to measure adherence</w:t>
      </w:r>
      <w:r w:rsidR="00186D2D" w:rsidRPr="006B6F2B">
        <w:t xml:space="preserve">. </w:t>
      </w:r>
      <w:r w:rsidRPr="006B6F2B">
        <w:t>Cognitive abilities were also evaluate</w:t>
      </w:r>
      <w:r w:rsidR="006765A0" w:rsidRPr="006B6F2B">
        <w:t>d. This examination points out knowledge deficits of medication adm</w:t>
      </w:r>
      <w:r w:rsidR="0002444F">
        <w:t xml:space="preserve">inistration among older adults, </w:t>
      </w:r>
      <w:r w:rsidR="006765A0" w:rsidRPr="006B6F2B">
        <w:t>the issue of physical and cognitive</w:t>
      </w:r>
      <w:r w:rsidR="0002444F">
        <w:t xml:space="preserve"> obstacles faced by this cohort,</w:t>
      </w:r>
      <w:r w:rsidRPr="006B6F2B">
        <w:t xml:space="preserve"> and </w:t>
      </w:r>
      <w:r w:rsidR="006765A0" w:rsidRPr="006B6F2B">
        <w:t>evaluates</w:t>
      </w:r>
      <w:r w:rsidR="00E55BDF" w:rsidRPr="006B6F2B">
        <w:t xml:space="preserve"> the </w:t>
      </w:r>
      <w:r w:rsidR="006765A0" w:rsidRPr="006B6F2B">
        <w:t>efficacy of organizers in improving</w:t>
      </w:r>
      <w:r w:rsidR="00D20E21" w:rsidRPr="006B6F2B">
        <w:t xml:space="preserve"> adherence.</w:t>
      </w:r>
      <w:r w:rsidR="0002444F">
        <w:t xml:space="preserve"> With the growing rate of ag</w:t>
      </w:r>
      <w:r w:rsidR="00E55BDF" w:rsidRPr="006B6F2B">
        <w:t>ing Americans, it is essential</w:t>
      </w:r>
      <w:r w:rsidRPr="006B6F2B">
        <w:t xml:space="preserve"> </w:t>
      </w:r>
      <w:r w:rsidR="00E55BDF" w:rsidRPr="006B6F2B">
        <w:t xml:space="preserve">for </w:t>
      </w:r>
      <w:r w:rsidR="009539FC" w:rsidRPr="006B6F2B">
        <w:t>all home</w:t>
      </w:r>
      <w:r w:rsidRPr="006B6F2B">
        <w:t>care agencies</w:t>
      </w:r>
      <w:r w:rsidR="00E55BDF" w:rsidRPr="006B6F2B">
        <w:t xml:space="preserve"> to addr</w:t>
      </w:r>
      <w:r w:rsidR="00D20E21" w:rsidRPr="006B6F2B">
        <w:t xml:space="preserve">ess the issue of medication </w:t>
      </w:r>
      <w:r w:rsidR="00E55BDF" w:rsidRPr="006B6F2B">
        <w:t>compliance among older adults</w:t>
      </w:r>
      <w:r w:rsidRPr="006B6F2B">
        <w:t xml:space="preserve">. </w:t>
      </w:r>
    </w:p>
    <w:p w:rsidR="00CE6BD9" w:rsidRPr="006B6F2B" w:rsidRDefault="00BB1B37" w:rsidP="00D20E21">
      <w:pPr>
        <w:spacing w:line="480" w:lineRule="auto"/>
        <w:rPr>
          <w:i/>
        </w:rPr>
      </w:pPr>
      <w:r w:rsidRPr="006B6F2B">
        <w:tab/>
      </w:r>
      <w:r w:rsidRPr="006B6F2B">
        <w:rPr>
          <w:i/>
        </w:rPr>
        <w:t xml:space="preserve">Keywords: </w:t>
      </w:r>
      <w:r w:rsidRPr="006B6F2B">
        <w:t xml:space="preserve">compliance, omissions, </w:t>
      </w:r>
      <w:r w:rsidR="00904061" w:rsidRPr="006B6F2B">
        <w:t>elderly</w:t>
      </w:r>
      <w:r w:rsidRPr="006B6F2B">
        <w:t>, organizers, cues</w:t>
      </w:r>
      <w:r w:rsidR="00C44376" w:rsidRPr="006B6F2B">
        <w:t>, community</w:t>
      </w:r>
      <w:r w:rsidRPr="006B6F2B">
        <w:t xml:space="preserve">. </w:t>
      </w:r>
    </w:p>
    <w:p w:rsidR="00CE6BD9" w:rsidRPr="006B6F2B" w:rsidRDefault="00CE6BD9" w:rsidP="00D20E21">
      <w:pPr>
        <w:spacing w:line="480" w:lineRule="auto"/>
        <w:jc w:val="center"/>
      </w:pPr>
    </w:p>
    <w:p w:rsidR="00D20E21" w:rsidRPr="006B6F2B" w:rsidRDefault="00BB1B37" w:rsidP="00D20E21">
      <w:pPr>
        <w:spacing w:line="480" w:lineRule="auto"/>
        <w:ind w:firstLine="720"/>
        <w:jc w:val="center"/>
      </w:pPr>
      <w:r w:rsidRPr="006B6F2B">
        <w:lastRenderedPageBreak/>
        <w:t>Review</w:t>
      </w:r>
      <w:r w:rsidR="00802BF8" w:rsidRPr="006B6F2B">
        <w:t xml:space="preserve"> of Literature</w:t>
      </w:r>
    </w:p>
    <w:p w:rsidR="00A35A5C" w:rsidRPr="00CC7EF0" w:rsidRDefault="00286AC0" w:rsidP="00D20E21">
      <w:pPr>
        <w:spacing w:line="480" w:lineRule="auto"/>
        <w:ind w:firstLine="720"/>
      </w:pPr>
      <w:r w:rsidRPr="00CC7EF0">
        <w:t>The foundation of this evidence ba</w:t>
      </w:r>
      <w:r w:rsidR="00512922" w:rsidRPr="00CC7EF0">
        <w:t>se</w:t>
      </w:r>
      <w:r w:rsidR="00C44376" w:rsidRPr="00CC7EF0">
        <w:t xml:space="preserve"> practice poster comes from a </w:t>
      </w:r>
      <w:r w:rsidRPr="00CC7EF0">
        <w:t xml:space="preserve">series of </w:t>
      </w:r>
      <w:r w:rsidR="00B36B81" w:rsidRPr="00CC7EF0">
        <w:t>quant</w:t>
      </w:r>
      <w:r w:rsidR="006C0E08" w:rsidRPr="00CC7EF0">
        <w:t>itative research studies that</w:t>
      </w:r>
      <w:r w:rsidR="00512922" w:rsidRPr="00CC7EF0">
        <w:t xml:space="preserve"> are mentioned in the following paragraphs. They </w:t>
      </w:r>
      <w:r w:rsidR="006C0E08" w:rsidRPr="00CC7EF0">
        <w:t>gather</w:t>
      </w:r>
      <w:r w:rsidR="003A459D" w:rsidRPr="00CC7EF0">
        <w:t xml:space="preserve"> information and support</w:t>
      </w:r>
      <w:r w:rsidR="006C0E08" w:rsidRPr="00CC7EF0">
        <w:t xml:space="preserve"> the PICO topic about elderly clients and factors that may lead to</w:t>
      </w:r>
      <w:r w:rsidR="00512922" w:rsidRPr="00CC7EF0">
        <w:t xml:space="preserve"> n</w:t>
      </w:r>
      <w:r w:rsidR="00C44376" w:rsidRPr="00CC7EF0">
        <w:t>on-adherence to medications. S</w:t>
      </w:r>
      <w:r w:rsidRPr="00CC7EF0">
        <w:t>ystematic reviews</w:t>
      </w:r>
      <w:r w:rsidR="00666D90" w:rsidRPr="00CC7EF0">
        <w:t xml:space="preserve">, meta-analysis and </w:t>
      </w:r>
      <w:r w:rsidR="006C0E08" w:rsidRPr="00CC7EF0">
        <w:t>randomized control</w:t>
      </w:r>
      <w:r w:rsidR="00666D90" w:rsidRPr="00CC7EF0">
        <w:t xml:space="preserve"> trials,</w:t>
      </w:r>
      <w:r w:rsidR="006C0E08" w:rsidRPr="00CC7EF0">
        <w:t xml:space="preserve"> were used as the </w:t>
      </w:r>
      <w:r w:rsidR="00B36B81" w:rsidRPr="00CC7EF0">
        <w:t>groundwork</w:t>
      </w:r>
      <w:r w:rsidR="006C0E08" w:rsidRPr="00CC7EF0">
        <w:t xml:space="preserve"> of this research. A majority of the literature was accessed via the Pace University database</w:t>
      </w:r>
      <w:r w:rsidR="00F04074" w:rsidRPr="00CC7EF0">
        <w:t>.</w:t>
      </w:r>
      <w:r w:rsidRPr="00CC7EF0">
        <w:t xml:space="preserve"> </w:t>
      </w:r>
    </w:p>
    <w:p w:rsidR="00D128D5" w:rsidRPr="00CC7EF0" w:rsidRDefault="003A459D" w:rsidP="003A459D">
      <w:pPr>
        <w:spacing w:line="480" w:lineRule="auto"/>
        <w:ind w:firstLine="720"/>
      </w:pPr>
      <w:r w:rsidRPr="00CC7EF0">
        <w:t xml:space="preserve">The research began with an article from the </w:t>
      </w:r>
      <w:r w:rsidRPr="00CC7EF0">
        <w:rPr>
          <w:i/>
        </w:rPr>
        <w:t>American Journal of Health Behavior</w:t>
      </w:r>
      <w:r w:rsidRPr="00CC7EF0">
        <w:t>. The article was titled “</w:t>
      </w:r>
      <w:r w:rsidRPr="002726DE">
        <w:t>Older Adult Medication Compliance: Integrated revi</w:t>
      </w:r>
      <w:r w:rsidR="002726DE">
        <w:t>ew of randomized control trials</w:t>
      </w:r>
      <w:r w:rsidRPr="002726DE">
        <w:t>”</w:t>
      </w:r>
      <w:r w:rsidR="002726DE">
        <w:t xml:space="preserve"> written by </w:t>
      </w:r>
      <w:r w:rsidR="002726DE" w:rsidRPr="002726DE">
        <w:rPr>
          <w:rStyle w:val="Strong"/>
          <w:b w:val="0"/>
        </w:rPr>
        <w:t>Russell</w:t>
      </w:r>
      <w:r w:rsidR="002726DE">
        <w:t>, Conn</w:t>
      </w:r>
      <w:r w:rsidR="0008634B">
        <w:t>,</w:t>
      </w:r>
      <w:r w:rsidR="002726DE">
        <w:t xml:space="preserve"> &amp; </w:t>
      </w:r>
      <w:proofErr w:type="spellStart"/>
      <w:r w:rsidR="002726DE">
        <w:t>Jantarakupt</w:t>
      </w:r>
      <w:proofErr w:type="spellEnd"/>
      <w:r w:rsidR="002726DE" w:rsidRPr="002726DE">
        <w:t xml:space="preserve"> (2006</w:t>
      </w:r>
      <w:r w:rsidR="002726DE">
        <w:t>).</w:t>
      </w:r>
      <w:r w:rsidR="002726DE" w:rsidRPr="00CC7EF0">
        <w:t xml:space="preserve"> </w:t>
      </w:r>
      <w:r w:rsidRPr="00CC7EF0">
        <w:t xml:space="preserve"> </w:t>
      </w:r>
      <w:r w:rsidR="00C44376" w:rsidRPr="00CC7EF0">
        <w:t>It provided the core</w:t>
      </w:r>
      <w:r w:rsidRPr="00CC7EF0">
        <w:t xml:space="preserve"> of the PICO question by raising the topic of elderly patients and their abilities to self-medicate at home. It used a randomized control trial to experiment and collect data but was flawed because of the failure to collect adequate reporting from the </w:t>
      </w:r>
      <w:r w:rsidR="0002444F">
        <w:t>participants</w:t>
      </w:r>
      <w:r w:rsidRPr="00CC7EF0">
        <w:t xml:space="preserve"> (</w:t>
      </w:r>
      <w:r w:rsidR="0008634B" w:rsidRPr="002726DE">
        <w:rPr>
          <w:rStyle w:val="Strong"/>
          <w:b w:val="0"/>
        </w:rPr>
        <w:t>Russell</w:t>
      </w:r>
      <w:r w:rsidR="0008634B">
        <w:t xml:space="preserve">, Conn, &amp; </w:t>
      </w:r>
      <w:proofErr w:type="spellStart"/>
      <w:r w:rsidR="0008634B">
        <w:t>Jantarakupt</w:t>
      </w:r>
      <w:proofErr w:type="spellEnd"/>
      <w:r w:rsidR="0008634B">
        <w:t xml:space="preserve">, </w:t>
      </w:r>
      <w:r w:rsidR="0008634B" w:rsidRPr="002726DE">
        <w:t>2006</w:t>
      </w:r>
      <w:r w:rsidRPr="0008634B">
        <w:t>).</w:t>
      </w:r>
      <w:r w:rsidRPr="00CC7EF0">
        <w:t xml:space="preserve"> In addition, no valid data could be drawn from this article</w:t>
      </w:r>
      <w:r w:rsidR="0002444F">
        <w:t xml:space="preserve"> due to the fact that </w:t>
      </w:r>
      <w:r w:rsidRPr="00CC7EF0">
        <w:t>only a structured abstract was accessible.</w:t>
      </w:r>
    </w:p>
    <w:p w:rsidR="00C44376" w:rsidRPr="00CC7EF0" w:rsidRDefault="0051063D" w:rsidP="00A81215">
      <w:pPr>
        <w:spacing w:line="480" w:lineRule="auto"/>
        <w:ind w:firstLine="720"/>
      </w:pPr>
      <w:proofErr w:type="spellStart"/>
      <w:r w:rsidRPr="00C0443D">
        <w:t>DeBartolomeo-Mager</w:t>
      </w:r>
      <w:proofErr w:type="spellEnd"/>
      <w:r w:rsidRPr="00C0443D">
        <w:t xml:space="preserve"> </w:t>
      </w:r>
      <w:r w:rsidR="0008634B" w:rsidRPr="0051063D">
        <w:t xml:space="preserve">and </w:t>
      </w:r>
      <w:r w:rsidR="003A459D" w:rsidRPr="0051063D">
        <w:t>Madigan (2010</w:t>
      </w:r>
      <w:r w:rsidR="003A459D" w:rsidRPr="0008634B">
        <w:t>)</w:t>
      </w:r>
      <w:r w:rsidR="003A459D" w:rsidRPr="00CC7EF0">
        <w:t xml:space="preserve"> conducted a pilot study to show the severity of medication non-compliance in the home.  The research focused on 10 males and 20 </w:t>
      </w:r>
      <w:r w:rsidR="00B36B81" w:rsidRPr="00CC7EF0">
        <w:t>females who were receiving home</w:t>
      </w:r>
      <w:r w:rsidR="003A459D" w:rsidRPr="00CC7EF0">
        <w:t xml:space="preserve">care from visiting nurse services. </w:t>
      </w:r>
      <w:bookmarkStart w:id="0" w:name="_GoBack"/>
      <w:bookmarkEnd w:id="0"/>
      <w:r w:rsidR="003A459D" w:rsidRPr="00CC7EF0">
        <w:t>Overall, this study conveyed that there is a need for nursing interventions to improve medication compliance in the homebound patient; however, there was no testing or examinati</w:t>
      </w:r>
      <w:r w:rsidR="00B36B81" w:rsidRPr="00CC7EF0">
        <w:t>on of any specific intervention;</w:t>
      </w:r>
      <w:r w:rsidR="003A459D" w:rsidRPr="00CC7EF0">
        <w:t xml:space="preserve"> such as pill boxes. In addition, the small sample size of this study makes the results questionable.</w:t>
      </w:r>
    </w:p>
    <w:p w:rsidR="00A81215" w:rsidRPr="00CC7EF0" w:rsidRDefault="008A1A5C" w:rsidP="00A81215">
      <w:pPr>
        <w:spacing w:line="480" w:lineRule="auto"/>
        <w:ind w:firstLine="720"/>
      </w:pPr>
      <w:r w:rsidRPr="008A1A5C">
        <w:lastRenderedPageBreak/>
        <w:t xml:space="preserve">Lam, Elliott, and </w:t>
      </w:r>
      <w:r w:rsidR="003A459D" w:rsidRPr="008A1A5C">
        <w:t>George (2011)</w:t>
      </w:r>
      <w:r w:rsidR="0002444F">
        <w:t xml:space="preserve"> use</w:t>
      </w:r>
      <w:r w:rsidR="003A459D" w:rsidRPr="00CC7EF0">
        <w:t xml:space="preserve"> a meta-analysis in which they describe ways to improve patient medication compliance in the home by using Self Administration of Medication Programs (SAMP). The study was conducted by pharmacists who limited their population to people o</w:t>
      </w:r>
      <w:r w:rsidR="00B36B81" w:rsidRPr="00CC7EF0">
        <w:t>ver the age of 65, on at least three</w:t>
      </w:r>
      <w:r w:rsidR="003A459D" w:rsidRPr="00CC7EF0">
        <w:t xml:space="preserve"> </w:t>
      </w:r>
      <w:r w:rsidR="00B36B81" w:rsidRPr="00CC7EF0">
        <w:t>l</w:t>
      </w:r>
      <w:r w:rsidR="003A459D" w:rsidRPr="00CC7EF0">
        <w:t>ong term medica</w:t>
      </w:r>
      <w:r w:rsidR="00B36B81" w:rsidRPr="00CC7EF0">
        <w:t>tions,</w:t>
      </w:r>
      <w:r w:rsidR="003A459D" w:rsidRPr="00CC7EF0">
        <w:t xml:space="preserve"> have no history of dementia or cognitive impairment, and who are fluent in English. This study utilized patient surveys that were cond</w:t>
      </w:r>
      <w:r w:rsidR="00890159" w:rsidRPr="00CC7EF0">
        <w:t>ucted over the telephone after two</w:t>
      </w:r>
      <w:r w:rsidR="0002444F">
        <w:t xml:space="preserve"> weeks of discharge from an</w:t>
      </w:r>
      <w:r w:rsidR="003A459D" w:rsidRPr="00CC7EF0">
        <w:t xml:space="preserve"> acute care setting.  The Hawthorne Effect might have been an issue, whereby the respondents exaggerate their compliance to please the researchers or perh</w:t>
      </w:r>
      <w:r w:rsidR="0002444F">
        <w:t>aps</w:t>
      </w:r>
      <w:r w:rsidR="003A459D" w:rsidRPr="00CC7EF0">
        <w:t xml:space="preserve"> to</w:t>
      </w:r>
      <w:r w:rsidR="0002444F">
        <w:t xml:space="preserve"> not</w:t>
      </w:r>
      <w:r w:rsidR="003A459D" w:rsidRPr="00CC7EF0">
        <w:t xml:space="preserve"> reveal what they were actually doing with their medications.  This study also has issues related to</w:t>
      </w:r>
      <w:r w:rsidR="00B36B81" w:rsidRPr="00CC7EF0">
        <w:t xml:space="preserve"> reliability and validity of</w:t>
      </w:r>
      <w:r w:rsidR="003A459D" w:rsidRPr="00CC7EF0">
        <w:t xml:space="preserve"> findings in terms of application to a broad spectru</w:t>
      </w:r>
      <w:r w:rsidR="00B36B81" w:rsidRPr="00CC7EF0">
        <w:t>m of patients in the community</w:t>
      </w:r>
      <w:r w:rsidR="003A459D" w:rsidRPr="00CC7EF0">
        <w:t xml:space="preserve"> setting. This was a pilot study that used a small sample (N=24) and was limited to one specific unit of the acute care hospital setting.  This study neglects a core population of clients who are cognitively impaired (</w:t>
      </w:r>
      <w:proofErr w:type="spellStart"/>
      <w:r w:rsidR="00A81215" w:rsidRPr="00CC7EF0">
        <w:t>ie</w:t>
      </w:r>
      <w:proofErr w:type="spellEnd"/>
      <w:r w:rsidR="00A81215" w:rsidRPr="00CC7EF0">
        <w:t xml:space="preserve">. </w:t>
      </w:r>
      <w:proofErr w:type="spellStart"/>
      <w:r w:rsidR="003A459D" w:rsidRPr="00CC7EF0">
        <w:t>alzheimers</w:t>
      </w:r>
      <w:proofErr w:type="spellEnd"/>
      <w:r w:rsidR="003A459D" w:rsidRPr="00CC7EF0">
        <w:t xml:space="preserve"> and dementia</w:t>
      </w:r>
      <w:r w:rsidR="00A81215" w:rsidRPr="00CC7EF0">
        <w:t xml:space="preserve"> patients</w:t>
      </w:r>
      <w:r w:rsidR="003A459D" w:rsidRPr="00CC7EF0">
        <w:t>), which are possibly more likely to have issues with medication compliance. As a result, the evidence presented in this article may not be a realistic representation of the general homebound patient population.</w:t>
      </w:r>
      <w:r w:rsidR="00A81215" w:rsidRPr="00CC7EF0">
        <w:t xml:space="preserve"> The authors conclude that further study using </w:t>
      </w:r>
      <w:r w:rsidR="00A35A5C" w:rsidRPr="00CC7EF0">
        <w:t xml:space="preserve">“a </w:t>
      </w:r>
      <w:r w:rsidR="00A35A5C" w:rsidRPr="008A1A5C">
        <w:t>controlled trial with adequate power and a longer follow-up time is warranted” (Lam</w:t>
      </w:r>
      <w:r w:rsidR="00F04074" w:rsidRPr="008A1A5C">
        <w:t>,</w:t>
      </w:r>
      <w:r w:rsidRPr="008A1A5C">
        <w:t xml:space="preserve"> Elliot</w:t>
      </w:r>
      <w:r w:rsidR="00F04074" w:rsidRPr="008A1A5C">
        <w:t>,</w:t>
      </w:r>
      <w:r w:rsidRPr="008A1A5C">
        <w:t xml:space="preserve"> &amp; George,</w:t>
      </w:r>
      <w:r w:rsidR="00A35A5C" w:rsidRPr="008A1A5C">
        <w:t xml:space="preserve"> 2011</w:t>
      </w:r>
      <w:r w:rsidR="00512922" w:rsidRPr="008A1A5C">
        <w:t>, p.</w:t>
      </w:r>
      <w:r w:rsidRPr="008A1A5C">
        <w:t xml:space="preserve"> </w:t>
      </w:r>
      <w:r w:rsidR="00512922" w:rsidRPr="008A1A5C">
        <w:t>85</w:t>
      </w:r>
      <w:r w:rsidR="00A35A5C" w:rsidRPr="008A1A5C">
        <w:t>).</w:t>
      </w:r>
      <w:r w:rsidR="00A35A5C" w:rsidRPr="00CC7EF0">
        <w:t xml:space="preserve"> </w:t>
      </w:r>
    </w:p>
    <w:p w:rsidR="00A35A5C" w:rsidRPr="00CC7EF0" w:rsidRDefault="008A1A5C" w:rsidP="00A81215">
      <w:pPr>
        <w:spacing w:line="480" w:lineRule="auto"/>
        <w:ind w:firstLine="720"/>
      </w:pPr>
      <w:proofErr w:type="spellStart"/>
      <w:r w:rsidRPr="00885E9C">
        <w:t>Littenberg</w:t>
      </w:r>
      <w:proofErr w:type="spellEnd"/>
      <w:r w:rsidRPr="00885E9C">
        <w:t xml:space="preserve">, MacLean, and </w:t>
      </w:r>
      <w:proofErr w:type="spellStart"/>
      <w:r w:rsidR="00A81215" w:rsidRPr="00885E9C">
        <w:t>Hurowitz</w:t>
      </w:r>
      <w:proofErr w:type="spellEnd"/>
      <w:r w:rsidR="00A81215" w:rsidRPr="00885E9C">
        <w:t xml:space="preserve"> (2006)</w:t>
      </w:r>
      <w:r w:rsidR="00A81215" w:rsidRPr="00CC7EF0">
        <w:t xml:space="preserve"> conducted a study to determine if the use of adherence aids would improve diabetic medication compliance. </w:t>
      </w:r>
      <w:r w:rsidR="00C200A4" w:rsidRPr="00CC7EF0">
        <w:t>Their study was based on a cross sectional analysis</w:t>
      </w:r>
      <w:r w:rsidR="00A81215" w:rsidRPr="00CC7EF0">
        <w:t xml:space="preserve">. The researchers randomly selected 289 diabetic subjects, 51% being female whose average age was 65 years. </w:t>
      </w:r>
      <w:r w:rsidR="00C75F2B" w:rsidRPr="00CC7EF0">
        <w:t xml:space="preserve">Although the study used a small population and only looked at a group of diabetic patients, the results of the study </w:t>
      </w:r>
      <w:r w:rsidR="00C75F2B" w:rsidRPr="00CC7EF0">
        <w:lastRenderedPageBreak/>
        <w:t>are still valid because the subjects were randomly selected and the authors were able to make a recommendation to use pill organizers with support from the data provided from their research.</w:t>
      </w:r>
    </w:p>
    <w:p w:rsidR="00A35A5C" w:rsidRPr="00CC7EF0" w:rsidRDefault="00885E9C" w:rsidP="00A81215">
      <w:pPr>
        <w:spacing w:line="480" w:lineRule="auto"/>
        <w:ind w:firstLine="720"/>
      </w:pPr>
      <w:r w:rsidRPr="00885E9C">
        <w:t xml:space="preserve">Fulmer, Kim, Montgomery and </w:t>
      </w:r>
      <w:proofErr w:type="spellStart"/>
      <w:r w:rsidR="00A81215" w:rsidRPr="00885E9C">
        <w:t>Lyder</w:t>
      </w:r>
      <w:proofErr w:type="spellEnd"/>
      <w:r w:rsidR="00A81215" w:rsidRPr="00885E9C">
        <w:t xml:space="preserve"> (2001)</w:t>
      </w:r>
      <w:r w:rsidR="00A81215" w:rsidRPr="00CC7EF0">
        <w:t xml:space="preserve"> reviewed several studies as a relevant secondary resource related to the PICO topic. These authors discussed past studies performed regarding medication compliance, and concluded that adherence is a major issue and a very complex matter.  As a secondary source it does not hold as much weight in terms of evidence, but it did mention some ideas that are applicable to increasing patient adherence to medications and can be used to construct methods and interventions that can be implemented in our care for the homebound elderly patient population.</w:t>
      </w:r>
      <w:r w:rsidR="00A35A5C" w:rsidRPr="00CC7EF0">
        <w:t xml:space="preserve">  </w:t>
      </w:r>
    </w:p>
    <w:p w:rsidR="00CE6BD9" w:rsidRPr="00CC7EF0" w:rsidRDefault="00A35A5C" w:rsidP="00D20E21">
      <w:pPr>
        <w:spacing w:line="480" w:lineRule="auto"/>
        <w:jc w:val="center"/>
      </w:pPr>
      <w:r w:rsidRPr="00CC7EF0">
        <w:t>M</w:t>
      </w:r>
      <w:r w:rsidR="00802BF8" w:rsidRPr="00CC7EF0">
        <w:t>ethods</w:t>
      </w:r>
    </w:p>
    <w:p w:rsidR="00434E92" w:rsidRPr="00CC7EF0" w:rsidRDefault="00206B40" w:rsidP="00D20E21">
      <w:pPr>
        <w:spacing w:line="480" w:lineRule="auto"/>
        <w:ind w:firstLine="720"/>
      </w:pPr>
      <w:r w:rsidRPr="00EC01CF">
        <w:t xml:space="preserve"> </w:t>
      </w:r>
      <w:r w:rsidR="002F16D9" w:rsidRPr="00EC01CF">
        <w:t xml:space="preserve">“The Use of Adherence Aids by Adults with Diabetes” by </w:t>
      </w:r>
      <w:proofErr w:type="spellStart"/>
      <w:r w:rsidR="00EC01CF">
        <w:t>Littenberg</w:t>
      </w:r>
      <w:proofErr w:type="spellEnd"/>
      <w:r w:rsidR="002F16D9" w:rsidRPr="00EC01CF">
        <w:t xml:space="preserve"> et al</w:t>
      </w:r>
      <w:r w:rsidR="00EC01CF">
        <w:t>.</w:t>
      </w:r>
      <w:r w:rsidR="002F16D9" w:rsidRPr="00EC01CF">
        <w:t xml:space="preserve"> (2006)</w:t>
      </w:r>
      <w:r w:rsidR="002F16D9" w:rsidRPr="00CC7EF0">
        <w:t xml:space="preserve"> focuses</w:t>
      </w:r>
      <w:r w:rsidR="00A35A5C" w:rsidRPr="00CC7EF0">
        <w:t xml:space="preserve"> on the use of adherence a</w:t>
      </w:r>
      <w:r w:rsidR="002F16D9" w:rsidRPr="00CC7EF0">
        <w:t>ids for adults with diabetes. It is a</w:t>
      </w:r>
      <w:r w:rsidR="00A35A5C" w:rsidRPr="00CC7EF0">
        <w:t xml:space="preserve"> cross sectional survey of patients living in Vermont, Upper New</w:t>
      </w:r>
      <w:r w:rsidR="002F16D9" w:rsidRPr="00CC7EF0">
        <w:t xml:space="preserve"> York State, and New Hampshire. It used a group of 289 patients</w:t>
      </w:r>
      <w:r w:rsidR="00A35A5C" w:rsidRPr="00CC7EF0">
        <w:t xml:space="preserve"> </w:t>
      </w:r>
      <w:r w:rsidR="002F16D9" w:rsidRPr="00CC7EF0">
        <w:t xml:space="preserve">that </w:t>
      </w:r>
      <w:r w:rsidR="00A35A5C" w:rsidRPr="00CC7EF0">
        <w:t>were studied to exam</w:t>
      </w:r>
      <w:r w:rsidR="00CE6BD9" w:rsidRPr="00CC7EF0">
        <w:t>ine</w:t>
      </w:r>
      <w:r w:rsidR="00A35A5C" w:rsidRPr="00CC7EF0">
        <w:t xml:space="preserve"> </w:t>
      </w:r>
      <w:r w:rsidR="002F16D9" w:rsidRPr="00CC7EF0">
        <w:t xml:space="preserve">the efficacy of </w:t>
      </w:r>
      <w:r w:rsidR="00A35A5C" w:rsidRPr="00CC7EF0">
        <w:t>various aids for physiologic</w:t>
      </w:r>
      <w:r w:rsidR="00CE6BD9" w:rsidRPr="00CC7EF0">
        <w:t>al</w:t>
      </w:r>
      <w:r w:rsidR="00A35A5C" w:rsidRPr="00CC7EF0">
        <w:t xml:space="preserve"> control of diabetic patients who u</w:t>
      </w:r>
      <w:r w:rsidR="00C63C2B" w:rsidRPr="00CC7EF0">
        <w:t>se</w:t>
      </w:r>
      <w:r w:rsidR="00CE6BD9" w:rsidRPr="00CC7EF0">
        <w:t xml:space="preserve"> oral agents for hyperglycemia, </w:t>
      </w:r>
      <w:r w:rsidR="00A35A5C" w:rsidRPr="00CC7EF0">
        <w:t>hypercho</w:t>
      </w:r>
      <w:r w:rsidR="00C63C2B" w:rsidRPr="00CC7EF0">
        <w:t>lesterolemia and hypertension. </w:t>
      </w:r>
      <w:r w:rsidR="00A35A5C" w:rsidRPr="00CC7EF0">
        <w:t>This study used chi-square tests and t-tests to compare means of the group members who used different aids to assist them to adhere to medication regimens. A limitation of this study's design is that there was no random assignment of participan</w:t>
      </w:r>
      <w:r w:rsidR="000D4FAC" w:rsidRPr="00CC7EF0">
        <w:t>ts to the adherence tool used</w:t>
      </w:r>
      <w:r w:rsidR="00A35A5C" w:rsidRPr="00CC7EF0">
        <w:t>.</w:t>
      </w:r>
    </w:p>
    <w:p w:rsidR="00A35A5C" w:rsidRPr="00CC7EF0" w:rsidRDefault="00434E92" w:rsidP="00D20E21">
      <w:pPr>
        <w:spacing w:line="480" w:lineRule="auto"/>
        <w:ind w:firstLine="720"/>
        <w:rPr>
          <w:highlight w:val="yellow"/>
        </w:rPr>
      </w:pPr>
      <w:r w:rsidRPr="00CC7EF0">
        <w:t xml:space="preserve"> </w:t>
      </w:r>
      <w:r w:rsidR="00206B40" w:rsidRPr="00CC7EF0">
        <w:t xml:space="preserve">An article found in the </w:t>
      </w:r>
      <w:r w:rsidR="00206B40" w:rsidRPr="00EC01CF">
        <w:rPr>
          <w:i/>
        </w:rPr>
        <w:t>Journal of Clinical Pharmacy and Therapeutics</w:t>
      </w:r>
      <w:r w:rsidR="00206B40" w:rsidRPr="00EC01CF">
        <w:t xml:space="preserve">, written by </w:t>
      </w:r>
      <w:r w:rsidRPr="00EC01CF">
        <w:t>Lam et al</w:t>
      </w:r>
      <w:r w:rsidR="002F16D9" w:rsidRPr="00EC01CF">
        <w:t>.</w:t>
      </w:r>
      <w:r w:rsidR="00206B40" w:rsidRPr="00EC01CF">
        <w:t xml:space="preserve"> (2011</w:t>
      </w:r>
      <w:r w:rsidRPr="00EC01CF">
        <w:t>)</w:t>
      </w:r>
      <w:r w:rsidR="00206B40" w:rsidRPr="00EC01CF">
        <w:t>,</w:t>
      </w:r>
      <w:r w:rsidRPr="00CC7EF0">
        <w:t xml:space="preserve"> utilized </w:t>
      </w:r>
      <w:r w:rsidR="00CA4040" w:rsidRPr="00CC7EF0">
        <w:t>SAMP</w:t>
      </w:r>
      <w:r w:rsidRPr="00CC7EF0">
        <w:t xml:space="preserve">, the Drug Regimen Unassisted Grading Scale </w:t>
      </w:r>
      <w:r w:rsidRPr="00CC7EF0">
        <w:lastRenderedPageBreak/>
        <w:t xml:space="preserve">(DRUGS) and the Tool for Adherence Behavior </w:t>
      </w:r>
      <w:r w:rsidR="002F16D9" w:rsidRPr="00CC7EF0">
        <w:t>Screening (TABS) to study twenty-four</w:t>
      </w:r>
      <w:r w:rsidRPr="00CC7EF0">
        <w:t xml:space="preserve"> participants at a secondary care teaching hospital in Melbourne, Australia. Descriptive </w:t>
      </w:r>
      <w:r w:rsidR="002F16D9" w:rsidRPr="00CC7EF0">
        <w:t>statistics were used to differentiate</w:t>
      </w:r>
      <w:r w:rsidR="00C63C2B" w:rsidRPr="00CC7EF0">
        <w:t xml:space="preserve"> patient </w:t>
      </w:r>
      <w:r w:rsidRPr="00CC7EF0">
        <w:t>characteristics</w:t>
      </w:r>
      <w:r w:rsidR="002F16D9" w:rsidRPr="00CC7EF0">
        <w:t xml:space="preserve"> that would make them more unlik</w:t>
      </w:r>
      <w:r w:rsidR="00C63C2B" w:rsidRPr="00CC7EF0">
        <w:t xml:space="preserve">ely to be non-adherent to their </w:t>
      </w:r>
      <w:r w:rsidR="002F16D9" w:rsidRPr="00CC7EF0">
        <w:t>medication regimen</w:t>
      </w:r>
      <w:r w:rsidRPr="00CC7EF0">
        <w:t xml:space="preserve">. Changes in SAMP compared to TABS scores were analyzed using paired sample t-test and </w:t>
      </w:r>
      <w:proofErr w:type="spellStart"/>
      <w:r w:rsidRPr="00CC7EF0">
        <w:t>Wilcoxon</w:t>
      </w:r>
      <w:proofErr w:type="spellEnd"/>
      <w:r w:rsidRPr="00CC7EF0">
        <w:t>-signed rank test.  The target pop</w:t>
      </w:r>
      <w:r w:rsidR="002F16D9" w:rsidRPr="00CC7EF0">
        <w:t xml:space="preserve">ulation was 180 </w:t>
      </w:r>
      <w:proofErr w:type="gramStart"/>
      <w:r w:rsidR="002F16D9" w:rsidRPr="00CC7EF0">
        <w:t>patients</w:t>
      </w:r>
      <w:r w:rsidR="0002444F">
        <w:t>,</w:t>
      </w:r>
      <w:proofErr w:type="gramEnd"/>
      <w:r w:rsidR="00206B40" w:rsidRPr="00CC7EF0">
        <w:t xml:space="preserve"> however</w:t>
      </w:r>
      <w:r w:rsidR="0002444F">
        <w:t>,</w:t>
      </w:r>
      <w:r w:rsidR="00206B40" w:rsidRPr="00CC7EF0">
        <w:t xml:space="preserve"> </w:t>
      </w:r>
      <w:r w:rsidR="0044760F" w:rsidRPr="00CC7EF0">
        <w:t>some</w:t>
      </w:r>
      <w:r w:rsidR="00206B40" w:rsidRPr="00CC7EF0">
        <w:t xml:space="preserve"> volunteers</w:t>
      </w:r>
      <w:r w:rsidR="00C75F2B" w:rsidRPr="00CC7EF0">
        <w:t xml:space="preserve"> were not included in the research because they failed to</w:t>
      </w:r>
      <w:r w:rsidRPr="00CC7EF0">
        <w:t xml:space="preserve"> </w:t>
      </w:r>
      <w:r w:rsidR="000D4FAC" w:rsidRPr="00CC7EF0">
        <w:t xml:space="preserve">meet the </w:t>
      </w:r>
      <w:r w:rsidRPr="00CC7EF0">
        <w:t>criteria</w:t>
      </w:r>
      <w:r w:rsidR="0044760F" w:rsidRPr="00CC7EF0">
        <w:t xml:space="preserve"> of the study.</w:t>
      </w:r>
      <w:r w:rsidRPr="00CC7EF0">
        <w:t xml:space="preserve"> </w:t>
      </w:r>
      <w:r w:rsidR="0044760F" w:rsidRPr="00CC7EF0">
        <w:t xml:space="preserve"> As a result, the study looks at</w:t>
      </w:r>
      <w:r w:rsidRPr="00CC7EF0">
        <w:t xml:space="preserve"> a very small sample</w:t>
      </w:r>
      <w:r w:rsidR="0044760F" w:rsidRPr="00CC7EF0">
        <w:t xml:space="preserve"> and results may be skewed by such a factor</w:t>
      </w:r>
      <w:r w:rsidRPr="00CC7EF0">
        <w:t xml:space="preserve">.  </w:t>
      </w:r>
    </w:p>
    <w:p w:rsidR="00802BF8" w:rsidRPr="00CC7EF0" w:rsidRDefault="00EC01CF" w:rsidP="00844C1C">
      <w:pPr>
        <w:spacing w:line="480" w:lineRule="auto"/>
        <w:ind w:firstLine="720"/>
      </w:pPr>
      <w:r w:rsidRPr="00EC01CF">
        <w:t>Fulmer</w:t>
      </w:r>
      <w:r w:rsidR="00524861" w:rsidRPr="00EC01CF">
        <w:t xml:space="preserve"> et al. (2001)</w:t>
      </w:r>
      <w:r w:rsidR="00206B40" w:rsidRPr="00EC01CF">
        <w:t xml:space="preserve"> wrote</w:t>
      </w:r>
      <w:r w:rsidR="00CE6BD9" w:rsidRPr="00EC01CF">
        <w:t xml:space="preserve"> a systematic review </w:t>
      </w:r>
      <w:r w:rsidR="00206B40" w:rsidRPr="00EC01CF">
        <w:t>entitled</w:t>
      </w:r>
      <w:r w:rsidR="00C75F2B" w:rsidRPr="00EC01CF">
        <w:t>,</w:t>
      </w:r>
      <w:r w:rsidR="00206B40" w:rsidRPr="00EC01CF">
        <w:t xml:space="preserve"> “What the Literature Tells Us </w:t>
      </w:r>
      <w:proofErr w:type="gramStart"/>
      <w:r w:rsidR="00206B40" w:rsidRPr="00EC01CF">
        <w:t>About</w:t>
      </w:r>
      <w:proofErr w:type="gramEnd"/>
      <w:r w:rsidR="00206B40" w:rsidRPr="00EC01CF">
        <w:t xml:space="preserve"> the Complexity of Medicat</w:t>
      </w:r>
      <w:r w:rsidR="00524861" w:rsidRPr="00EC01CF">
        <w:t>ion Compliance in the Elderly”.</w:t>
      </w:r>
      <w:r w:rsidR="00524861" w:rsidRPr="00CC7EF0">
        <w:t xml:space="preserve"> </w:t>
      </w:r>
      <w:r w:rsidR="00206B40" w:rsidRPr="00CC7EF0">
        <w:t>The article</w:t>
      </w:r>
      <w:r w:rsidR="00CE6BD9" w:rsidRPr="00CC7EF0">
        <w:t xml:space="preserve"> </w:t>
      </w:r>
      <w:r w:rsidR="00607DD0" w:rsidRPr="00CC7EF0">
        <w:t>views</w:t>
      </w:r>
      <w:r w:rsidR="00CE6BD9" w:rsidRPr="00CC7EF0">
        <w:t xml:space="preserve"> a variety of studies related to the subject of </w:t>
      </w:r>
      <w:r w:rsidR="00206B40" w:rsidRPr="00CC7EF0">
        <w:t xml:space="preserve">elderly </w:t>
      </w:r>
      <w:r w:rsidR="00CE6BD9" w:rsidRPr="00CC7EF0">
        <w:t>patient adherence to medication</w:t>
      </w:r>
      <w:r w:rsidR="00C75F2B" w:rsidRPr="00CC7EF0">
        <w:t>s</w:t>
      </w:r>
      <w:r w:rsidR="00CE6BD9" w:rsidRPr="00CC7EF0">
        <w:t>. A majority of the studies analyzed a cohort group of elderly individuals who are primarily community dwelling individuals.</w:t>
      </w:r>
      <w:r w:rsidR="00A35A5C" w:rsidRPr="00CC7EF0">
        <w:t xml:space="preserve"> </w:t>
      </w:r>
      <w:r w:rsidR="00CE6BD9" w:rsidRPr="00CC7EF0">
        <w:t>M</w:t>
      </w:r>
      <w:r w:rsidR="00A35A5C" w:rsidRPr="00CC7EF0">
        <w:t>ultiple-choice questionnaire</w:t>
      </w:r>
      <w:r w:rsidR="00CE6BD9" w:rsidRPr="00CC7EF0">
        <w:t>s</w:t>
      </w:r>
      <w:r w:rsidR="00A35A5C" w:rsidRPr="00CC7EF0">
        <w:t xml:space="preserve"> on adherence behaviors prior to discharge to </w:t>
      </w:r>
      <w:r w:rsidR="0044760F" w:rsidRPr="00CC7EF0">
        <w:t>address</w:t>
      </w:r>
      <w:r w:rsidR="00A35A5C" w:rsidRPr="00CC7EF0">
        <w:t xml:space="preserve"> socio-cognitive variables associated with adherence behaviors</w:t>
      </w:r>
      <w:r w:rsidR="0044760F" w:rsidRPr="00CC7EF0">
        <w:t xml:space="preserve"> is</w:t>
      </w:r>
      <w:r w:rsidR="00CE6BD9" w:rsidRPr="00CC7EF0">
        <w:t xml:space="preserve"> </w:t>
      </w:r>
      <w:r w:rsidR="00206B40" w:rsidRPr="00CC7EF0">
        <w:t xml:space="preserve">included in </w:t>
      </w:r>
      <w:r w:rsidR="00CE6BD9" w:rsidRPr="00CC7EF0">
        <w:t>one of the studies discussed in the article</w:t>
      </w:r>
      <w:r w:rsidR="00A35A5C" w:rsidRPr="00CC7EF0">
        <w:t>.  Follow u</w:t>
      </w:r>
      <w:r w:rsidR="00CE6BD9" w:rsidRPr="00CC7EF0">
        <w:t>p interviews were conducted as well to collect data on adherence to medications from self-reporting of participants</w:t>
      </w:r>
      <w:r w:rsidR="00A35A5C" w:rsidRPr="00CC7EF0">
        <w:t xml:space="preserve">. </w:t>
      </w:r>
    </w:p>
    <w:p w:rsidR="00084B9A" w:rsidRPr="00CC7EF0" w:rsidRDefault="00206B40" w:rsidP="00844C1C">
      <w:pPr>
        <w:pStyle w:val="Heading3"/>
        <w:spacing w:before="0" w:beforeAutospacing="0" w:after="0" w:afterAutospacing="0" w:line="480" w:lineRule="auto"/>
        <w:ind w:firstLine="720"/>
        <w:rPr>
          <w:b w:val="0"/>
          <w:sz w:val="24"/>
          <w:szCs w:val="24"/>
        </w:rPr>
      </w:pPr>
      <w:r w:rsidRPr="00CC7EF0">
        <w:rPr>
          <w:b w:val="0"/>
          <w:sz w:val="24"/>
          <w:szCs w:val="24"/>
        </w:rPr>
        <w:t xml:space="preserve">In </w:t>
      </w:r>
      <w:r w:rsidRPr="00BE528A">
        <w:rPr>
          <w:b w:val="0"/>
          <w:sz w:val="24"/>
          <w:szCs w:val="24"/>
        </w:rPr>
        <w:t xml:space="preserve">“Medication </w:t>
      </w:r>
      <w:r w:rsidRPr="00BE528A">
        <w:rPr>
          <w:rStyle w:val="Emphasis"/>
          <w:b w:val="0"/>
          <w:i w:val="0"/>
          <w:sz w:val="24"/>
          <w:szCs w:val="24"/>
        </w:rPr>
        <w:t>Use</w:t>
      </w:r>
      <w:r w:rsidRPr="00BE528A">
        <w:rPr>
          <w:b w:val="0"/>
          <w:sz w:val="24"/>
          <w:szCs w:val="24"/>
        </w:rPr>
        <w:t xml:space="preserve"> </w:t>
      </w:r>
      <w:proofErr w:type="gramStart"/>
      <w:r w:rsidRPr="00BE528A">
        <w:rPr>
          <w:b w:val="0"/>
          <w:sz w:val="24"/>
          <w:szCs w:val="24"/>
        </w:rPr>
        <w:t>Among</w:t>
      </w:r>
      <w:proofErr w:type="gramEnd"/>
      <w:r w:rsidRPr="00BE528A">
        <w:rPr>
          <w:b w:val="0"/>
          <w:sz w:val="24"/>
          <w:szCs w:val="24"/>
        </w:rPr>
        <w:t xml:space="preserve"> Older Adults in a Home Care Setting</w:t>
      </w:r>
      <w:r w:rsidR="00EF4B0A" w:rsidRPr="00BE528A">
        <w:rPr>
          <w:b w:val="0"/>
          <w:sz w:val="24"/>
          <w:szCs w:val="24"/>
        </w:rPr>
        <w:t>” by</w:t>
      </w:r>
      <w:r w:rsidR="0044760F" w:rsidRPr="00BE528A">
        <w:rPr>
          <w:b w:val="0"/>
          <w:sz w:val="24"/>
          <w:szCs w:val="24"/>
        </w:rPr>
        <w:t xml:space="preserve"> </w:t>
      </w:r>
      <w:proofErr w:type="spellStart"/>
      <w:r w:rsidR="0044760F" w:rsidRPr="00BE528A">
        <w:rPr>
          <w:b w:val="0"/>
          <w:sz w:val="24"/>
          <w:szCs w:val="24"/>
        </w:rPr>
        <w:t>DeBartolomeo</w:t>
      </w:r>
      <w:r w:rsidR="00607DD0" w:rsidRPr="00BE528A">
        <w:rPr>
          <w:b w:val="0"/>
          <w:sz w:val="24"/>
          <w:szCs w:val="24"/>
        </w:rPr>
        <w:t>-Mager</w:t>
      </w:r>
      <w:proofErr w:type="spellEnd"/>
      <w:r w:rsidR="0044760F" w:rsidRPr="00BE528A">
        <w:rPr>
          <w:b w:val="0"/>
          <w:sz w:val="24"/>
          <w:szCs w:val="24"/>
        </w:rPr>
        <w:t xml:space="preserve"> and</w:t>
      </w:r>
      <w:r w:rsidR="00EF4B0A" w:rsidRPr="00BE528A">
        <w:rPr>
          <w:rStyle w:val="txtsearch"/>
          <w:b w:val="0"/>
          <w:sz w:val="24"/>
          <w:szCs w:val="24"/>
        </w:rPr>
        <w:t> Madigan</w:t>
      </w:r>
      <w:r w:rsidR="00EF4B0A" w:rsidRPr="00BE528A">
        <w:rPr>
          <w:b w:val="0"/>
          <w:sz w:val="24"/>
          <w:szCs w:val="24"/>
        </w:rPr>
        <w:t xml:space="preserve"> (2010),</w:t>
      </w:r>
      <w:r w:rsidR="00EF4B0A" w:rsidRPr="00CC7EF0">
        <w:rPr>
          <w:b w:val="0"/>
          <w:sz w:val="24"/>
          <w:szCs w:val="24"/>
        </w:rPr>
        <w:t xml:space="preserve"> </w:t>
      </w:r>
      <w:r w:rsidR="00607DD0" w:rsidRPr="00CC7EF0">
        <w:rPr>
          <w:b w:val="0"/>
          <w:sz w:val="24"/>
          <w:szCs w:val="24"/>
        </w:rPr>
        <w:t xml:space="preserve">a </w:t>
      </w:r>
      <w:r w:rsidR="00084B9A" w:rsidRPr="00CC7EF0">
        <w:rPr>
          <w:b w:val="0"/>
          <w:sz w:val="24"/>
          <w:szCs w:val="24"/>
        </w:rPr>
        <w:t xml:space="preserve">simple random sample </w:t>
      </w:r>
      <w:r w:rsidR="00EF4B0A" w:rsidRPr="00CC7EF0">
        <w:rPr>
          <w:b w:val="0"/>
          <w:sz w:val="24"/>
          <w:szCs w:val="24"/>
        </w:rPr>
        <w:t xml:space="preserve">was used </w:t>
      </w:r>
      <w:r w:rsidR="00084B9A" w:rsidRPr="00CC7EF0">
        <w:rPr>
          <w:b w:val="0"/>
          <w:sz w:val="24"/>
          <w:szCs w:val="24"/>
        </w:rPr>
        <w:t xml:space="preserve">to select participants for their pilot study. </w:t>
      </w:r>
      <w:r w:rsidR="0044760F" w:rsidRPr="00CC7EF0">
        <w:rPr>
          <w:b w:val="0"/>
          <w:sz w:val="24"/>
          <w:szCs w:val="24"/>
        </w:rPr>
        <w:t>This study</w:t>
      </w:r>
      <w:r w:rsidR="00084B9A" w:rsidRPr="00CC7EF0">
        <w:rPr>
          <w:b w:val="0"/>
          <w:sz w:val="24"/>
          <w:szCs w:val="24"/>
        </w:rPr>
        <w:t xml:space="preserve"> was conducted at the VNA in the northeastern United States. The criteria for their participants </w:t>
      </w:r>
      <w:r w:rsidR="0044760F" w:rsidRPr="00CC7EF0">
        <w:rPr>
          <w:b w:val="0"/>
          <w:sz w:val="24"/>
          <w:szCs w:val="24"/>
        </w:rPr>
        <w:t>included having to be over the age of 65, had</w:t>
      </w:r>
      <w:r w:rsidR="00084B9A" w:rsidRPr="00CC7EF0">
        <w:rPr>
          <w:b w:val="0"/>
          <w:sz w:val="24"/>
          <w:szCs w:val="24"/>
        </w:rPr>
        <w:t xml:space="preserve"> at least two medica</w:t>
      </w:r>
      <w:r w:rsidR="0044760F" w:rsidRPr="00CC7EF0">
        <w:rPr>
          <w:b w:val="0"/>
          <w:sz w:val="24"/>
          <w:szCs w:val="24"/>
        </w:rPr>
        <w:t>tions prescribed per day, and we</w:t>
      </w:r>
      <w:r w:rsidR="00C75F2B" w:rsidRPr="00CC7EF0">
        <w:rPr>
          <w:b w:val="0"/>
          <w:sz w:val="24"/>
          <w:szCs w:val="24"/>
        </w:rPr>
        <w:t>re receiving home</w:t>
      </w:r>
      <w:r w:rsidR="00084B9A" w:rsidRPr="00CC7EF0">
        <w:rPr>
          <w:b w:val="0"/>
          <w:sz w:val="24"/>
          <w:szCs w:val="24"/>
        </w:rPr>
        <w:t xml:space="preserve">care by the VNA. Participants with the diagnoses of cognitive impairment, </w:t>
      </w:r>
      <w:r w:rsidR="00084B9A" w:rsidRPr="00CC7EF0">
        <w:rPr>
          <w:b w:val="0"/>
          <w:sz w:val="24"/>
          <w:szCs w:val="24"/>
        </w:rPr>
        <w:lastRenderedPageBreak/>
        <w:t>dementia, or mental illness were excluded. Out of 109 subjects 31 were chosen, one participant was lost due to hospitalization and 30 subjects completed the study. All subjects were identified by a number assigned to them for privacy and confidentiality. This study was approved by the institutional review boards of the VNA and Case</w:t>
      </w:r>
      <w:r w:rsidR="0044760F" w:rsidRPr="00CC7EF0">
        <w:rPr>
          <w:b w:val="0"/>
          <w:sz w:val="24"/>
          <w:szCs w:val="24"/>
        </w:rPr>
        <w:t xml:space="preserve"> Western Reserve University. The omission of the mentally unstable clients skews the data and evidence regarding the need to assess </w:t>
      </w:r>
      <w:r w:rsidR="0002444F">
        <w:rPr>
          <w:b w:val="0"/>
          <w:sz w:val="24"/>
          <w:szCs w:val="24"/>
        </w:rPr>
        <w:t>patient</w:t>
      </w:r>
      <w:r w:rsidR="00607DD0" w:rsidRPr="00CC7EF0">
        <w:rPr>
          <w:b w:val="0"/>
          <w:sz w:val="24"/>
          <w:szCs w:val="24"/>
        </w:rPr>
        <w:t>s</w:t>
      </w:r>
      <w:r w:rsidR="0002444F">
        <w:rPr>
          <w:b w:val="0"/>
          <w:sz w:val="24"/>
          <w:szCs w:val="24"/>
        </w:rPr>
        <w:t>’</w:t>
      </w:r>
      <w:r w:rsidR="000D4FAC" w:rsidRPr="00CC7EF0">
        <w:rPr>
          <w:b w:val="0"/>
          <w:sz w:val="24"/>
          <w:szCs w:val="24"/>
        </w:rPr>
        <w:t xml:space="preserve"> capabilities</w:t>
      </w:r>
      <w:r w:rsidR="0044760F" w:rsidRPr="00CC7EF0">
        <w:rPr>
          <w:b w:val="0"/>
          <w:sz w:val="24"/>
          <w:szCs w:val="24"/>
        </w:rPr>
        <w:t xml:space="preserve"> prior to assessing a </w:t>
      </w:r>
      <w:r w:rsidR="00524861" w:rsidRPr="00CC7EF0">
        <w:rPr>
          <w:b w:val="0"/>
          <w:sz w:val="24"/>
          <w:szCs w:val="24"/>
        </w:rPr>
        <w:t>patient’s</w:t>
      </w:r>
      <w:r w:rsidR="0044760F" w:rsidRPr="00CC7EF0">
        <w:rPr>
          <w:b w:val="0"/>
          <w:sz w:val="24"/>
          <w:szCs w:val="24"/>
        </w:rPr>
        <w:t xml:space="preserve"> need for the use of cues and organizers to increase medication adherence.</w:t>
      </w:r>
    </w:p>
    <w:p w:rsidR="00E02E3C" w:rsidRPr="00CC7EF0" w:rsidRDefault="00802BF8" w:rsidP="00844C1C">
      <w:pPr>
        <w:spacing w:line="480" w:lineRule="auto"/>
        <w:ind w:firstLine="720"/>
        <w:jc w:val="center"/>
      </w:pPr>
      <w:r w:rsidRPr="00CC7EF0">
        <w:t>Synthesis of Findings</w:t>
      </w:r>
      <w:r w:rsidR="00C17198" w:rsidRPr="00CC7EF0">
        <w:t xml:space="preserve"> </w:t>
      </w:r>
    </w:p>
    <w:p w:rsidR="00CE6BD9" w:rsidRPr="00CC7EF0" w:rsidRDefault="00CE6BD9" w:rsidP="00844C1C">
      <w:pPr>
        <w:spacing w:line="480" w:lineRule="auto"/>
        <w:ind w:firstLine="720"/>
      </w:pPr>
      <w:r w:rsidRPr="00CC7EF0">
        <w:t>The article</w:t>
      </w:r>
      <w:r w:rsidR="00BE528A">
        <w:t>,</w:t>
      </w:r>
      <w:r w:rsidRPr="00CC7EF0">
        <w:t xml:space="preserve"> </w:t>
      </w:r>
      <w:r w:rsidRPr="00BE528A">
        <w:rPr>
          <w:iCs/>
        </w:rPr>
        <w:t>"</w:t>
      </w:r>
      <w:r w:rsidRPr="00BE528A">
        <w:t>What the Literature Tells Us About the Complexity of Medicat</w:t>
      </w:r>
      <w:r w:rsidR="00524861" w:rsidRPr="00BE528A">
        <w:t>ion Compliance in the Elderly” by Fulmer et al. (2001)</w:t>
      </w:r>
      <w:r w:rsidRPr="00BE528A">
        <w:t>,</w:t>
      </w:r>
      <w:r w:rsidRPr="00CC7EF0">
        <w:t xml:space="preserve"> groups a series of research studies performed to test medication compl</w:t>
      </w:r>
      <w:r w:rsidR="00524861" w:rsidRPr="00CC7EF0">
        <w:t>iance in the elderly population. Fulmer mentions a study</w:t>
      </w:r>
      <w:r w:rsidRPr="00CC7EF0">
        <w:t xml:space="preserve"> </w:t>
      </w:r>
      <w:r w:rsidR="00C63C2B" w:rsidRPr="00CC7EF0">
        <w:t xml:space="preserve">done by Nikon in 1996, </w:t>
      </w:r>
      <w:r w:rsidR="004F1232" w:rsidRPr="00CC7EF0">
        <w:t>which</w:t>
      </w:r>
      <w:r w:rsidR="00C75F2B" w:rsidRPr="00CC7EF0">
        <w:t xml:space="preserve"> </w:t>
      </w:r>
      <w:r w:rsidRPr="00CC7EF0">
        <w:t>focus</w:t>
      </w:r>
      <w:r w:rsidR="00C63C2B" w:rsidRPr="00CC7EF0">
        <w:t>ed on the physical ability of elderly patient</w:t>
      </w:r>
      <w:r w:rsidR="00C75F2B" w:rsidRPr="00CC7EF0">
        <w:t>s to</w:t>
      </w:r>
      <w:r w:rsidRPr="00CC7EF0">
        <w:t xml:space="preserve"> open pill bottles and remove medication</w:t>
      </w:r>
      <w:r w:rsidR="00C63C2B" w:rsidRPr="00CC7EF0">
        <w:t>s</w:t>
      </w:r>
      <w:r w:rsidRPr="00CC7EF0">
        <w:t>. The results of this study showed that</w:t>
      </w:r>
      <w:r w:rsidR="00524861" w:rsidRPr="00CC7EF0">
        <w:t xml:space="preserve"> the</w:t>
      </w:r>
      <w:r w:rsidRPr="00CC7EF0">
        <w:t xml:space="preserve"> elderly with cognitive, vision impairments</w:t>
      </w:r>
      <w:r w:rsidR="008C057D">
        <w:t>,</w:t>
      </w:r>
      <w:r w:rsidRPr="00CC7EF0">
        <w:t xml:space="preserve"> and low manual dexterity had a difficult time taking their medications. Another study</w:t>
      </w:r>
      <w:r w:rsidR="00EF4B0A" w:rsidRPr="00CC7EF0">
        <w:t xml:space="preserve"> cited</w:t>
      </w:r>
      <w:r w:rsidR="00524861" w:rsidRPr="00CC7EF0">
        <w:t xml:space="preserve"> with</w:t>
      </w:r>
      <w:r w:rsidR="00EF4B0A" w:rsidRPr="00CC7EF0">
        <w:t>in the article was conducted</w:t>
      </w:r>
      <w:r w:rsidRPr="00CC7EF0">
        <w:t xml:space="preserve"> </w:t>
      </w:r>
      <w:r w:rsidR="00C63C2B" w:rsidRPr="00CC7EF0">
        <w:t xml:space="preserve">by </w:t>
      </w:r>
      <w:proofErr w:type="spellStart"/>
      <w:r w:rsidR="00C63C2B" w:rsidRPr="00CC7EF0">
        <w:t>Fineman</w:t>
      </w:r>
      <w:proofErr w:type="spellEnd"/>
      <w:r w:rsidR="00C63C2B" w:rsidRPr="00CC7EF0">
        <w:t xml:space="preserve"> and </w:t>
      </w:r>
      <w:proofErr w:type="spellStart"/>
      <w:r w:rsidR="00C63C2B" w:rsidRPr="00CC7EF0">
        <w:t>DeFelice</w:t>
      </w:r>
      <w:proofErr w:type="spellEnd"/>
      <w:r w:rsidR="00C63C2B" w:rsidRPr="00CC7EF0">
        <w:t xml:space="preserve"> who used</w:t>
      </w:r>
      <w:r w:rsidRPr="00CC7EF0">
        <w:t xml:space="preserve"> surveys to measure the compliance and knowledge</w:t>
      </w:r>
      <w:r w:rsidR="00C63C2B" w:rsidRPr="00CC7EF0">
        <w:t xml:space="preserve"> of a group of elderly </w:t>
      </w:r>
      <w:r w:rsidR="00581746" w:rsidRPr="00CC7EF0">
        <w:t xml:space="preserve">people </w:t>
      </w:r>
      <w:r w:rsidR="00C63C2B" w:rsidRPr="00CC7EF0">
        <w:t>at a senior c</w:t>
      </w:r>
      <w:r w:rsidR="008C057D">
        <w:t xml:space="preserve">enter. The results showed: </w:t>
      </w:r>
      <w:r w:rsidRPr="00CC7EF0">
        <w:t>of the forty-seven elderly surveyed, 85% were taking their medications</w:t>
      </w:r>
      <w:r w:rsidR="00524861" w:rsidRPr="00CC7EF0">
        <w:t xml:space="preserve"> properly</w:t>
      </w:r>
      <w:r w:rsidR="000E65FF" w:rsidRPr="00CC7EF0">
        <w:t>.</w:t>
      </w:r>
      <w:r w:rsidRPr="00CC7EF0">
        <w:t xml:space="preserve"> </w:t>
      </w:r>
      <w:r w:rsidR="000E65FF" w:rsidRPr="00CC7EF0">
        <w:t>H</w:t>
      </w:r>
      <w:r w:rsidR="00524861" w:rsidRPr="00CC7EF0">
        <w:t>owever, o</w:t>
      </w:r>
      <w:r w:rsidRPr="00CC7EF0">
        <w:t xml:space="preserve">nly 68% of the </w:t>
      </w:r>
      <w:r w:rsidR="000E65FF" w:rsidRPr="00CC7EF0">
        <w:t>individuals</w:t>
      </w:r>
      <w:r w:rsidR="00524861" w:rsidRPr="00CC7EF0">
        <w:t xml:space="preserve"> were</w:t>
      </w:r>
      <w:r w:rsidRPr="00CC7EF0">
        <w:t xml:space="preserve"> able to identify the name of </w:t>
      </w:r>
      <w:r w:rsidR="00581746" w:rsidRPr="00CC7EF0">
        <w:t>the medications, and 59%</w:t>
      </w:r>
      <w:r w:rsidRPr="00CC7EF0">
        <w:t xml:space="preserve"> did not understand the treatment </w:t>
      </w:r>
      <w:r w:rsidR="00524861" w:rsidRPr="00CC7EF0">
        <w:t xml:space="preserve">regimen </w:t>
      </w:r>
      <w:r w:rsidRPr="00CC7EF0">
        <w:t xml:space="preserve">they were following. </w:t>
      </w:r>
      <w:r w:rsidR="00524861" w:rsidRPr="00CC7EF0">
        <w:t xml:space="preserve">Despite the larger number who reported </w:t>
      </w:r>
      <w:r w:rsidR="00346EEE" w:rsidRPr="00CC7EF0">
        <w:t>that the</w:t>
      </w:r>
      <w:r w:rsidR="000E65FF" w:rsidRPr="00CC7EF0">
        <w:t>y were following the medications schedule as ordered</w:t>
      </w:r>
      <w:r w:rsidR="00EF4B0A" w:rsidRPr="00CC7EF0">
        <w:t>,</w:t>
      </w:r>
      <w:r w:rsidRPr="00CC7EF0">
        <w:t xml:space="preserve"> more than half of them did not have the knowledge of why they were taking these medications an</w:t>
      </w:r>
      <w:r w:rsidR="008C057D">
        <w:t xml:space="preserve">d what </w:t>
      </w:r>
      <w:r w:rsidR="00EF4B0A" w:rsidRPr="00CC7EF0">
        <w:t>their side effects</w:t>
      </w:r>
      <w:r w:rsidR="008C057D">
        <w:t xml:space="preserve"> are</w:t>
      </w:r>
      <w:r w:rsidR="00EF4B0A" w:rsidRPr="00CC7EF0">
        <w:t>.</w:t>
      </w:r>
      <w:r w:rsidRPr="00CC7EF0">
        <w:t xml:space="preserve"> Overall the various research studies presented in this article </w:t>
      </w:r>
      <w:r w:rsidRPr="00CC7EF0">
        <w:lastRenderedPageBreak/>
        <w:t>concluded that in order to</w:t>
      </w:r>
      <w:r w:rsidR="00EF4B0A" w:rsidRPr="00CC7EF0">
        <w:t xml:space="preserve"> increase medication compliance</w:t>
      </w:r>
      <w:r w:rsidRPr="00CC7EF0">
        <w:t xml:space="preserve"> among the elderly population, several things must be taken i</w:t>
      </w:r>
      <w:r w:rsidR="00EF4B0A" w:rsidRPr="00CC7EF0">
        <w:t>nto consideration including: re-</w:t>
      </w:r>
      <w:r w:rsidRPr="00CC7EF0">
        <w:t>evaluating pa</w:t>
      </w:r>
      <w:r w:rsidR="000E65FF" w:rsidRPr="00CC7EF0">
        <w:t>tients</w:t>
      </w:r>
      <w:r w:rsidR="00D67AAF" w:rsidRPr="00CC7EF0">
        <w:t>’</w:t>
      </w:r>
      <w:r w:rsidR="000E65FF" w:rsidRPr="00CC7EF0">
        <w:t xml:space="preserve"> knowledge; simplifying the</w:t>
      </w:r>
      <w:r w:rsidRPr="00CC7EF0">
        <w:t xml:space="preserve"> medi</w:t>
      </w:r>
      <w:r w:rsidR="000E65FF" w:rsidRPr="00CC7EF0">
        <w:t>cation regime</w:t>
      </w:r>
      <w:r w:rsidR="00581746" w:rsidRPr="00CC7EF0">
        <w:t>n</w:t>
      </w:r>
      <w:r w:rsidR="000E65FF" w:rsidRPr="00CC7EF0">
        <w:t xml:space="preserve">; and using </w:t>
      </w:r>
      <w:r w:rsidRPr="00CC7EF0">
        <w:t>organizer</w:t>
      </w:r>
      <w:r w:rsidR="00346EEE" w:rsidRPr="00CC7EF0">
        <w:t>s</w:t>
      </w:r>
      <w:r w:rsidRPr="00CC7EF0">
        <w:t xml:space="preserve">, pill boxes; and </w:t>
      </w:r>
      <w:r w:rsidR="00EF4B0A" w:rsidRPr="00CC7EF0">
        <w:t>reminder cards</w:t>
      </w:r>
      <w:r w:rsidRPr="00CC7EF0">
        <w:t xml:space="preserve"> </w:t>
      </w:r>
      <w:r w:rsidR="00BE528A" w:rsidRPr="00C0443D">
        <w:t>(Fulmer</w:t>
      </w:r>
      <w:r w:rsidRPr="00C0443D">
        <w:t xml:space="preserve">, </w:t>
      </w:r>
      <w:r w:rsidR="00C0443D" w:rsidRPr="00C0443D">
        <w:t xml:space="preserve">Kim, Montgomery, &amp; </w:t>
      </w:r>
      <w:proofErr w:type="spellStart"/>
      <w:r w:rsidR="00C0443D" w:rsidRPr="00C0443D">
        <w:t>Lyder</w:t>
      </w:r>
      <w:proofErr w:type="spellEnd"/>
      <w:r w:rsidR="00C0443D" w:rsidRPr="00C0443D">
        <w:t xml:space="preserve">, </w:t>
      </w:r>
      <w:r w:rsidRPr="00C0443D">
        <w:t>2001)</w:t>
      </w:r>
      <w:r w:rsidR="00EF4B0A" w:rsidRPr="00C0443D">
        <w:t>.</w:t>
      </w:r>
      <w:r w:rsidRPr="00CC7EF0">
        <w:t xml:space="preserve">  All of these </w:t>
      </w:r>
      <w:r w:rsidR="008C057D">
        <w:t>suggestions can</w:t>
      </w:r>
      <w:r w:rsidR="00346EEE" w:rsidRPr="00CC7EF0">
        <w:t xml:space="preserve"> be implemented by the </w:t>
      </w:r>
      <w:r w:rsidRPr="00CC7EF0">
        <w:t>community</w:t>
      </w:r>
      <w:r w:rsidR="00346EEE" w:rsidRPr="00CC7EF0">
        <w:t xml:space="preserve"> or home health nurse</w:t>
      </w:r>
      <w:r w:rsidRPr="00CC7EF0">
        <w:t xml:space="preserve">. </w:t>
      </w:r>
    </w:p>
    <w:p w:rsidR="00CE6BD9" w:rsidRPr="00CC7EF0" w:rsidRDefault="00CE6BD9" w:rsidP="00844C1C">
      <w:pPr>
        <w:spacing w:line="480" w:lineRule="auto"/>
        <w:ind w:firstLine="720"/>
      </w:pPr>
      <w:r w:rsidRPr="00CC7EF0">
        <w:t> In "</w:t>
      </w:r>
      <w:r w:rsidR="00C0443D" w:rsidRPr="00C0443D">
        <w:t>The use of adherence aids by adults with diabetes: A cross-sectional s</w:t>
      </w:r>
      <w:r w:rsidR="008C057D">
        <w:t xml:space="preserve">urvey", the authors, </w:t>
      </w:r>
      <w:proofErr w:type="spellStart"/>
      <w:r w:rsidRPr="00C0443D">
        <w:t>Littenberg</w:t>
      </w:r>
      <w:proofErr w:type="spellEnd"/>
      <w:r w:rsidRPr="00C0443D">
        <w:t xml:space="preserve">, MacLean and </w:t>
      </w:r>
      <w:proofErr w:type="spellStart"/>
      <w:r w:rsidR="00346EEE" w:rsidRPr="00C0443D">
        <w:t>Hurowit</w:t>
      </w:r>
      <w:r w:rsidRPr="00C0443D">
        <w:t>z</w:t>
      </w:r>
      <w:proofErr w:type="spellEnd"/>
      <w:r w:rsidRPr="00C0443D">
        <w:t xml:space="preserve"> (2006)</w:t>
      </w:r>
      <w:r w:rsidR="008C057D">
        <w:t>,</w:t>
      </w:r>
      <w:r w:rsidRPr="00CC7EF0">
        <w:t xml:space="preserve"> used a cross sectional survey to examine if the use of adherence aids reflected an increase in medication compliance. The adherence aids used for this study included:</w:t>
      </w:r>
      <w:r w:rsidR="00EF4B0A" w:rsidRPr="00CC7EF0">
        <w:t xml:space="preserve"> pill boxes, placing pills i</w:t>
      </w:r>
      <w:r w:rsidRPr="00CC7EF0">
        <w:t>n a special location, and taking the medication with an event (meal or bedtime).  The results revealed that using more than one aid increases medication compliance</w:t>
      </w:r>
      <w:r w:rsidR="00346EEE" w:rsidRPr="00CC7EF0">
        <w:t xml:space="preserve">. </w:t>
      </w:r>
      <w:r w:rsidRPr="00CC7EF0">
        <w:t xml:space="preserve">For this particular study, </w:t>
      </w:r>
      <w:r w:rsidR="008C057D">
        <w:t xml:space="preserve">the authors concluded that </w:t>
      </w:r>
      <w:r w:rsidRPr="00CC7EF0">
        <w:t xml:space="preserve">even though the use of aids </w:t>
      </w:r>
      <w:r w:rsidR="00346EEE" w:rsidRPr="00CC7EF0">
        <w:t xml:space="preserve">may be </w:t>
      </w:r>
      <w:r w:rsidRPr="00CC7EF0">
        <w:t xml:space="preserve">practical and convenient to some, there is not enough evidence to demonstrate that they are </w:t>
      </w:r>
      <w:r w:rsidR="00346EEE" w:rsidRPr="00CC7EF0">
        <w:t>effective</w:t>
      </w:r>
      <w:r w:rsidRPr="00CC7EF0">
        <w:t xml:space="preserve">. </w:t>
      </w:r>
    </w:p>
    <w:p w:rsidR="00CE6BD9" w:rsidRPr="00CC7EF0" w:rsidRDefault="008C057D" w:rsidP="00844C1C">
      <w:pPr>
        <w:spacing w:line="480" w:lineRule="auto"/>
        <w:ind w:firstLine="720"/>
      </w:pPr>
      <w:r>
        <w:t>In t</w:t>
      </w:r>
      <w:r w:rsidR="00CE6BD9" w:rsidRPr="00C0443D">
        <w:t xml:space="preserve">he </w:t>
      </w:r>
      <w:r w:rsidR="00346EEE" w:rsidRPr="00C0443D">
        <w:t>article</w:t>
      </w:r>
      <w:r w:rsidR="00CE6BD9" w:rsidRPr="00C0443D">
        <w:t>, "Impact of</w:t>
      </w:r>
      <w:r w:rsidR="00C0443D" w:rsidRPr="00C0443D">
        <w:t xml:space="preserve"> self-Administration of medications </w:t>
      </w:r>
      <w:proofErr w:type="spellStart"/>
      <w:r w:rsidR="00C0443D" w:rsidRPr="00C0443D">
        <w:t>programme</w:t>
      </w:r>
      <w:proofErr w:type="spellEnd"/>
      <w:r w:rsidR="00C0443D" w:rsidRPr="00C0443D">
        <w:t xml:space="preserve"> on elderly inpatients' competence to manage m</w:t>
      </w:r>
      <w:r w:rsidR="00CE6BD9" w:rsidRPr="00C0443D">
        <w:t>edications</w:t>
      </w:r>
      <w:r w:rsidR="00C0443D" w:rsidRPr="00C0443D">
        <w:t>: A pilot study</w:t>
      </w:r>
      <w:r w:rsidR="00CE6BD9" w:rsidRPr="00C0443D">
        <w:t>" by Lam, Elliot and George</w:t>
      </w:r>
      <w:r w:rsidR="00346EEE" w:rsidRPr="00C0443D">
        <w:t xml:space="preserve"> (2010)</w:t>
      </w:r>
      <w:r w:rsidR="00CE6BD9" w:rsidRPr="00C0443D">
        <w:t>,</w:t>
      </w:r>
      <w:r w:rsidR="00CE6BD9" w:rsidRPr="00CC7EF0">
        <w:t xml:space="preserve"> the authors used SAMP on elderly inpatients to measure adherence behaviors. Overall results of the study </w:t>
      </w:r>
      <w:r w:rsidR="00EF4B0A" w:rsidRPr="00CC7EF0">
        <w:t>revealed</w:t>
      </w:r>
      <w:r w:rsidR="00CE6BD9" w:rsidRPr="00CC7EF0">
        <w:t xml:space="preserve"> that if the patient</w:t>
      </w:r>
      <w:r>
        <w:t>s</w:t>
      </w:r>
      <w:r w:rsidR="00CE6BD9" w:rsidRPr="00CC7EF0">
        <w:t xml:space="preserve"> were educated before discharge and were able to successfully self-administer his or her medicat</w:t>
      </w:r>
      <w:r w:rsidR="00932A4A" w:rsidRPr="00CC7EF0">
        <w:t xml:space="preserve">ions prior to discharge, the number of </w:t>
      </w:r>
      <w:r>
        <w:t>patients adhering to medication regimens</w:t>
      </w:r>
      <w:r w:rsidR="00932A4A" w:rsidRPr="00CC7EF0">
        <w:t xml:space="preserve"> would increase.</w:t>
      </w:r>
    </w:p>
    <w:p w:rsidR="00CA4040" w:rsidRPr="00CC7EF0" w:rsidRDefault="00CE6BD9" w:rsidP="00844C1C">
      <w:pPr>
        <w:spacing w:line="480" w:lineRule="auto"/>
      </w:pPr>
      <w:r w:rsidRPr="00CC7EF0">
        <w:tab/>
      </w:r>
      <w:proofErr w:type="spellStart"/>
      <w:r w:rsidR="00C0443D" w:rsidRPr="00C0443D">
        <w:t>DeBartolomeo-Mager</w:t>
      </w:r>
      <w:proofErr w:type="spellEnd"/>
      <w:r w:rsidR="00C0443D" w:rsidRPr="00C0443D">
        <w:t xml:space="preserve"> and </w:t>
      </w:r>
      <w:r w:rsidR="00346EEE" w:rsidRPr="00C0443D">
        <w:t>Madigan</w:t>
      </w:r>
      <w:r w:rsidR="00C0443D" w:rsidRPr="00C0443D">
        <w:t xml:space="preserve"> (2010)</w:t>
      </w:r>
      <w:r w:rsidR="00346EEE" w:rsidRPr="00C0443D">
        <w:t xml:space="preserve"> wrote </w:t>
      </w:r>
      <w:r w:rsidRPr="00C0443D">
        <w:t xml:space="preserve">“Medication Use </w:t>
      </w:r>
      <w:proofErr w:type="gramStart"/>
      <w:r w:rsidRPr="00C0443D">
        <w:t>Among</w:t>
      </w:r>
      <w:proofErr w:type="gramEnd"/>
      <w:r w:rsidRPr="00C0443D">
        <w:t xml:space="preserve"> Older Adults in a Home Care Sett</w:t>
      </w:r>
      <w:r w:rsidR="00EF4B0A" w:rsidRPr="00C0443D">
        <w:t>ing</w:t>
      </w:r>
      <w:r w:rsidR="00C0443D" w:rsidRPr="00C0443D">
        <w:t>”</w:t>
      </w:r>
      <w:r w:rsidR="00462C9A" w:rsidRPr="00C0443D">
        <w:t>.</w:t>
      </w:r>
      <w:r w:rsidR="00462C9A" w:rsidRPr="00CC7EF0">
        <w:t xml:space="preserve"> They </w:t>
      </w:r>
      <w:r w:rsidRPr="00CC7EF0">
        <w:t xml:space="preserve">depict a descriptive pilot study conducted </w:t>
      </w:r>
      <w:r w:rsidR="00462C9A" w:rsidRPr="00CC7EF0">
        <w:t>by</w:t>
      </w:r>
      <w:r w:rsidRPr="00CC7EF0">
        <w:t xml:space="preserve"> a Visiting Nurse Agency in the United States</w:t>
      </w:r>
      <w:r w:rsidR="00932A4A" w:rsidRPr="00CC7EF0">
        <w:t xml:space="preserve"> with</w:t>
      </w:r>
      <w:r w:rsidR="00462C9A" w:rsidRPr="00CC7EF0">
        <w:t xml:space="preserve"> </w:t>
      </w:r>
      <w:r w:rsidR="00581746" w:rsidRPr="00CC7EF0">
        <w:t xml:space="preserve">a </w:t>
      </w:r>
      <w:r w:rsidR="008C057D">
        <w:t>sample size of 30</w:t>
      </w:r>
      <w:r w:rsidR="00462C9A" w:rsidRPr="00CC7EF0">
        <w:t xml:space="preserve"> participants</w:t>
      </w:r>
      <w:r w:rsidR="00932A4A" w:rsidRPr="00CC7EF0">
        <w:t xml:space="preserve"> who indicated adherenc</w:t>
      </w:r>
      <w:r w:rsidR="00581746" w:rsidRPr="00CC7EF0">
        <w:t>e through completion of a surve</w:t>
      </w:r>
      <w:r w:rsidR="00932A4A" w:rsidRPr="00CC7EF0">
        <w:t>y</w:t>
      </w:r>
      <w:r w:rsidRPr="00CC7EF0">
        <w:t xml:space="preserve">.  The survey included questions on </w:t>
      </w:r>
      <w:r w:rsidRPr="00CC7EF0">
        <w:lastRenderedPageBreak/>
        <w:t>whether or not t</w:t>
      </w:r>
      <w:r w:rsidR="008C057D">
        <w:t xml:space="preserve">hey had taken their medications and </w:t>
      </w:r>
      <w:r w:rsidR="00581746" w:rsidRPr="00CC7EF0">
        <w:t xml:space="preserve">used correct </w:t>
      </w:r>
      <w:r w:rsidRPr="00CC7EF0">
        <w:t>dosage and timing. The results of the study showed that throughout the course of th</w:t>
      </w:r>
      <w:r w:rsidR="00581746" w:rsidRPr="00CC7EF0">
        <w:t>e three phone calls, 46% of participants reported they had omitted medications in one day</w:t>
      </w:r>
      <w:r w:rsidRPr="00CC7EF0">
        <w:t xml:space="preserve">. Another 46% also reported medication omission the day prior </w:t>
      </w:r>
      <w:r w:rsidR="00581746" w:rsidRPr="00CC7EF0">
        <w:t xml:space="preserve">to </w:t>
      </w:r>
      <w:r w:rsidRPr="00CC7EF0">
        <w:t>receiving the phone call. The participants were asked reasons why they had not taken their medications as prescribed and they reported the following reasons: participant fell asleep and missed a dose</w:t>
      </w:r>
      <w:r w:rsidR="008C057D">
        <w:t>,</w:t>
      </w:r>
      <w:r w:rsidRPr="00CC7EF0">
        <w:t xml:space="preserve"> medicati</w:t>
      </w:r>
      <w:r w:rsidR="008C057D">
        <w:t>on was perceived as unnecessary, participant forgot,</w:t>
      </w:r>
      <w:r w:rsidRPr="00CC7EF0">
        <w:t xml:space="preserve"> participant ran out of medications</w:t>
      </w:r>
      <w:r w:rsidR="008C057D">
        <w:t>,</w:t>
      </w:r>
      <w:r w:rsidRPr="00CC7EF0">
        <w:t xml:space="preserve"> or no apparent reason</w:t>
      </w:r>
      <w:r w:rsidR="00EF4B0A" w:rsidRPr="00CC7EF0">
        <w:t xml:space="preserve"> </w:t>
      </w:r>
      <w:r w:rsidR="00EF4B0A" w:rsidRPr="00C0443D">
        <w:t>(</w:t>
      </w:r>
      <w:proofErr w:type="spellStart"/>
      <w:r w:rsidR="00C0443D" w:rsidRPr="00C0443D">
        <w:t>DeBartolomeo-Mager</w:t>
      </w:r>
      <w:proofErr w:type="spellEnd"/>
      <w:r w:rsidR="00EF4B0A" w:rsidRPr="00C0443D">
        <w:t xml:space="preserve"> &amp; Madigan, 2010</w:t>
      </w:r>
      <w:r w:rsidR="00EF4B0A" w:rsidRPr="00CC7EF0">
        <w:t>)</w:t>
      </w:r>
      <w:r w:rsidRPr="00CC7EF0">
        <w:t xml:space="preserve">. To think that almost half of the participants selected for this study reported a medication omission is an alarming </w:t>
      </w:r>
      <w:r w:rsidR="00383281">
        <w:t xml:space="preserve">fact that must be addressed. </w:t>
      </w:r>
      <w:proofErr w:type="spellStart"/>
      <w:r w:rsidR="00383281" w:rsidRPr="00C0443D">
        <w:t>DeBartolomeo-Mager</w:t>
      </w:r>
      <w:proofErr w:type="spellEnd"/>
      <w:r w:rsidR="00383281">
        <w:t xml:space="preserve"> and Madigan</w:t>
      </w:r>
      <w:r w:rsidR="00383281" w:rsidRPr="00C0443D">
        <w:t xml:space="preserve"> </w:t>
      </w:r>
      <w:r w:rsidR="00383281">
        <w:t>(</w:t>
      </w:r>
      <w:r w:rsidR="00383281" w:rsidRPr="00C0443D">
        <w:t>2010</w:t>
      </w:r>
      <w:r w:rsidR="00383281" w:rsidRPr="00CC7EF0">
        <w:t xml:space="preserve">) </w:t>
      </w:r>
      <w:r w:rsidR="00EF4B0A" w:rsidRPr="00CC7EF0">
        <w:t xml:space="preserve">expressed a concern; </w:t>
      </w:r>
      <w:r w:rsidRPr="00CC7EF0">
        <w:t xml:space="preserve">these medication errors </w:t>
      </w:r>
      <w:r w:rsidR="00EF4B0A" w:rsidRPr="00CC7EF0">
        <w:t xml:space="preserve">are </w:t>
      </w:r>
      <w:r w:rsidRPr="00CC7EF0">
        <w:t>be</w:t>
      </w:r>
      <w:r w:rsidR="00EF4B0A" w:rsidRPr="00CC7EF0">
        <w:t xml:space="preserve">ing made by people who are </w:t>
      </w:r>
      <w:r w:rsidR="00852431" w:rsidRPr="00CC7EF0">
        <w:t>stable as opposed to</w:t>
      </w:r>
      <w:r w:rsidR="00EF4B0A" w:rsidRPr="00CC7EF0">
        <w:t xml:space="preserve"> </w:t>
      </w:r>
      <w:r w:rsidRPr="00CC7EF0">
        <w:t>newly discharge</w:t>
      </w:r>
      <w:r w:rsidR="00EF4B0A" w:rsidRPr="00CC7EF0">
        <w:t>d</w:t>
      </w:r>
      <w:r w:rsidRPr="00CC7EF0">
        <w:t xml:space="preserve"> patients from the hospital and those who are new to </w:t>
      </w:r>
      <w:r w:rsidR="00852431" w:rsidRPr="00CC7EF0">
        <w:t xml:space="preserve">the </w:t>
      </w:r>
      <w:r w:rsidR="00932A4A" w:rsidRPr="00CC7EF0">
        <w:t>home</w:t>
      </w:r>
      <w:r w:rsidRPr="00CC7EF0">
        <w:t>care system.</w:t>
      </w:r>
      <w:r w:rsidR="00852431" w:rsidRPr="00CC7EF0">
        <w:t xml:space="preserve"> This raises awareness about how poorly no</w:t>
      </w:r>
      <w:r w:rsidR="00932A4A" w:rsidRPr="00CC7EF0">
        <w:t>n-stable and new home</w:t>
      </w:r>
      <w:r w:rsidR="00852431" w:rsidRPr="00CC7EF0">
        <w:t>care patients may</w:t>
      </w:r>
      <w:r w:rsidR="00581746" w:rsidRPr="00CC7EF0">
        <w:t xml:space="preserve"> </w:t>
      </w:r>
      <w:r w:rsidR="00852431" w:rsidRPr="00CC7EF0">
        <w:t>be doing with their adherence to their prescribed drugs.</w:t>
      </w:r>
    </w:p>
    <w:p w:rsidR="00B548EB" w:rsidRPr="00CC7EF0" w:rsidRDefault="00B548EB" w:rsidP="00844C1C">
      <w:pPr>
        <w:spacing w:line="480" w:lineRule="auto"/>
        <w:ind w:firstLine="720"/>
        <w:jc w:val="center"/>
      </w:pPr>
      <w:r w:rsidRPr="00CC7EF0">
        <w:t xml:space="preserve">Decision </w:t>
      </w:r>
      <w:proofErr w:type="gramStart"/>
      <w:r w:rsidRPr="00CC7EF0">
        <w:t>About</w:t>
      </w:r>
      <w:proofErr w:type="gramEnd"/>
      <w:r w:rsidRPr="00CC7EF0">
        <w:t xml:space="preserve"> Practice</w:t>
      </w:r>
    </w:p>
    <w:p w:rsidR="00B548EB" w:rsidRPr="00CC7EF0" w:rsidRDefault="00B548EB" w:rsidP="00844C1C">
      <w:pPr>
        <w:spacing w:line="480" w:lineRule="auto"/>
        <w:ind w:firstLine="720"/>
      </w:pPr>
      <w:r w:rsidRPr="00CC7EF0">
        <w:t>“Medication Compliance, also referred to as med</w:t>
      </w:r>
      <w:r w:rsidR="00462C9A" w:rsidRPr="00CC7EF0">
        <w:t>ication adherence, is an extremely</w:t>
      </w:r>
      <w:r w:rsidRPr="00CC7EF0">
        <w:t xml:space="preserve"> complex and important component of understanding</w:t>
      </w:r>
      <w:r w:rsidR="00852431" w:rsidRPr="00CC7EF0">
        <w:t xml:space="preserve"> the </w:t>
      </w:r>
      <w:r w:rsidR="00462C9A" w:rsidRPr="00CC7EF0">
        <w:t>wellbeing</w:t>
      </w:r>
      <w:r w:rsidR="00852431" w:rsidRPr="00CC7EF0">
        <w:t xml:space="preserve"> of older people</w:t>
      </w:r>
      <w:r w:rsidR="00462C9A" w:rsidRPr="00CC7EF0">
        <w:t xml:space="preserve">” </w:t>
      </w:r>
      <w:r w:rsidR="00462C9A" w:rsidRPr="00383281">
        <w:t>(</w:t>
      </w:r>
      <w:r w:rsidR="00383281" w:rsidRPr="00383281">
        <w:t>Fulmer</w:t>
      </w:r>
      <w:r w:rsidR="00852431" w:rsidRPr="00383281">
        <w:t xml:space="preserve"> et al.,</w:t>
      </w:r>
      <w:r w:rsidR="00383281" w:rsidRPr="00383281">
        <w:t xml:space="preserve"> </w:t>
      </w:r>
      <w:r w:rsidRPr="00383281">
        <w:t>2001</w:t>
      </w:r>
      <w:r w:rsidR="00383281" w:rsidRPr="00383281">
        <w:t>, p. 43</w:t>
      </w:r>
      <w:r w:rsidRPr="00383281">
        <w:t>)</w:t>
      </w:r>
      <w:r w:rsidR="00852431" w:rsidRPr="00383281">
        <w:t>.</w:t>
      </w:r>
      <w:r w:rsidRPr="00CC7EF0">
        <w:t xml:space="preserve"> Community and visiting nurses have the unique opportunity to assess the management of each </w:t>
      </w:r>
      <w:r w:rsidR="008C057D">
        <w:t>patient within the home setting,</w:t>
      </w:r>
      <w:r w:rsidRPr="00CC7EF0">
        <w:t xml:space="preserve"> to identify life threatening </w:t>
      </w:r>
      <w:r w:rsidR="00462C9A" w:rsidRPr="00CC7EF0">
        <w:t>concerns</w:t>
      </w:r>
      <w:r w:rsidRPr="00CC7EF0">
        <w:t xml:space="preserve"> related to medication usage</w:t>
      </w:r>
      <w:r w:rsidR="008C057D">
        <w:t>,</w:t>
      </w:r>
      <w:r w:rsidRPr="00CC7EF0">
        <w:t xml:space="preserve"> and to observe and report obstacles that prevent the patient from taking the medications as prescribed. As advocates of the patient population, it is </w:t>
      </w:r>
      <w:r w:rsidR="00462C9A" w:rsidRPr="00CC7EF0">
        <w:t>the nurses’</w:t>
      </w:r>
      <w:r w:rsidRPr="00CC7EF0">
        <w:t xml:space="preserve"> responsibility to address any issues tha</w:t>
      </w:r>
      <w:r w:rsidR="00462C9A" w:rsidRPr="00CC7EF0">
        <w:t xml:space="preserve">t may put a patient in danger; this includes </w:t>
      </w:r>
      <w:r w:rsidRPr="00CC7EF0">
        <w:t xml:space="preserve">self-administration of a medication </w:t>
      </w:r>
      <w:r w:rsidR="00581746" w:rsidRPr="00CC7EF0">
        <w:t>for the reason</w:t>
      </w:r>
      <w:r w:rsidR="00462C9A" w:rsidRPr="00CC7EF0">
        <w:t xml:space="preserve"> that it </w:t>
      </w:r>
      <w:r w:rsidRPr="00CC7EF0">
        <w:lastRenderedPageBreak/>
        <w:t xml:space="preserve">can put an individual’s life at risk. Elderly patients are among the most likely of populations to be non-adherent with a medication prescription because of sensory </w:t>
      </w:r>
      <w:r w:rsidR="008C057D">
        <w:t>impairments (particularly visual</w:t>
      </w:r>
      <w:r w:rsidRPr="00CC7EF0">
        <w:t>)</w:t>
      </w:r>
      <w:r w:rsidR="008C057D">
        <w:t>,</w:t>
      </w:r>
      <w:r w:rsidRPr="00CC7EF0">
        <w:t xml:space="preserve"> confusion, and poverty or diminished income. As stated in </w:t>
      </w:r>
      <w:r w:rsidRPr="00383281">
        <w:t xml:space="preserve">“Medication Use </w:t>
      </w:r>
      <w:proofErr w:type="gramStart"/>
      <w:r w:rsidRPr="00383281">
        <w:t>Among</w:t>
      </w:r>
      <w:proofErr w:type="gramEnd"/>
      <w:r w:rsidRPr="00383281">
        <w:t xml:space="preserve"> Older Adults</w:t>
      </w:r>
      <w:r w:rsidR="00383281" w:rsidRPr="00383281">
        <w:t xml:space="preserve"> in a Home Care Setting” by </w:t>
      </w:r>
      <w:proofErr w:type="spellStart"/>
      <w:r w:rsidRPr="00383281">
        <w:t>DeBartolomeo</w:t>
      </w:r>
      <w:proofErr w:type="spellEnd"/>
      <w:r w:rsidR="00383281" w:rsidRPr="00383281">
        <w:t xml:space="preserve">- </w:t>
      </w:r>
      <w:proofErr w:type="spellStart"/>
      <w:r w:rsidR="00383281" w:rsidRPr="00383281">
        <w:t>Mager</w:t>
      </w:r>
      <w:proofErr w:type="spellEnd"/>
      <w:r w:rsidR="00383281" w:rsidRPr="00383281">
        <w:t xml:space="preserve"> and </w:t>
      </w:r>
      <w:r w:rsidRPr="00383281">
        <w:t>Madigan (2010),</w:t>
      </w:r>
      <w:r w:rsidRPr="00CC7EF0">
        <w:t xml:space="preserve"> nearly 32 million older Americans are community dwelling and as the population of older adults grows, the prevalence of chronic diseases and use of medications will follow. As a result, it is impor</w:t>
      </w:r>
      <w:r w:rsidR="00D67AAF" w:rsidRPr="00CC7EF0">
        <w:t>tant for home</w:t>
      </w:r>
      <w:r w:rsidRPr="00CC7EF0">
        <w:t xml:space="preserve">care nurses to be knowledgeable of the functional status and capabilities of their patient population and to recognize that the well-being of older adults relies on a well-informed partnership between the patient and the clinician team </w:t>
      </w:r>
      <w:r w:rsidR="00383281" w:rsidRPr="00383281">
        <w:t>(Fulmer</w:t>
      </w:r>
      <w:r w:rsidRPr="00383281">
        <w:t xml:space="preserve"> </w:t>
      </w:r>
      <w:r w:rsidR="00383281" w:rsidRPr="00383281">
        <w:t xml:space="preserve">et </w:t>
      </w:r>
      <w:r w:rsidR="00462C9A" w:rsidRPr="00383281">
        <w:t>al.</w:t>
      </w:r>
      <w:r w:rsidR="0051063D">
        <w:t>,</w:t>
      </w:r>
      <w:r w:rsidR="00462C9A" w:rsidRPr="00383281">
        <w:t xml:space="preserve"> </w:t>
      </w:r>
      <w:r w:rsidRPr="00383281">
        <w:t>2001)</w:t>
      </w:r>
      <w:r w:rsidR="00932A4A" w:rsidRPr="00CC7EF0">
        <w:t>. Home</w:t>
      </w:r>
      <w:r w:rsidRPr="00CC7EF0">
        <w:t>care nurses s</w:t>
      </w:r>
      <w:r w:rsidR="00D67AAF" w:rsidRPr="00CC7EF0">
        <w:t>hould encourage the use of pill</w:t>
      </w:r>
      <w:r w:rsidRPr="00CC7EF0">
        <w:t>b</w:t>
      </w:r>
      <w:r w:rsidR="00932A4A" w:rsidRPr="00CC7EF0">
        <w:t xml:space="preserve">oxes, follow-up phone calls, </w:t>
      </w:r>
      <w:proofErr w:type="gramStart"/>
      <w:r w:rsidRPr="00CC7EF0">
        <w:t>request</w:t>
      </w:r>
      <w:proofErr w:type="gramEnd"/>
      <w:r w:rsidRPr="00CC7EF0">
        <w:t xml:space="preserve"> agenci</w:t>
      </w:r>
      <w:r w:rsidR="00D67AAF" w:rsidRPr="00CC7EF0">
        <w:t xml:space="preserve">es to provide </w:t>
      </w:r>
      <w:proofErr w:type="spellStart"/>
      <w:r w:rsidR="00D67AAF" w:rsidRPr="00CC7EF0">
        <w:t>medi</w:t>
      </w:r>
      <w:proofErr w:type="spellEnd"/>
      <w:r w:rsidR="00D67AAF" w:rsidRPr="00CC7EF0">
        <w:t>-planner pill</w:t>
      </w:r>
      <w:r w:rsidRPr="00CC7EF0">
        <w:t>boxes and make referrals to get other equipment (</w:t>
      </w:r>
      <w:proofErr w:type="spellStart"/>
      <w:r w:rsidRPr="00CC7EF0">
        <w:t>eg</w:t>
      </w:r>
      <w:proofErr w:type="spellEnd"/>
      <w:r w:rsidRPr="00CC7EF0">
        <w:t xml:space="preserve">. </w:t>
      </w:r>
      <w:proofErr w:type="gramStart"/>
      <w:r w:rsidRPr="00CC7EF0">
        <w:t>Magnifying lenses or automatic pill dispensers).</w:t>
      </w:r>
      <w:proofErr w:type="gramEnd"/>
      <w:r w:rsidRPr="00CC7EF0">
        <w:t xml:space="preserve"> </w:t>
      </w:r>
    </w:p>
    <w:p w:rsidR="00B548EB" w:rsidRPr="00CC7EF0" w:rsidRDefault="00B548EB" w:rsidP="00844C1C">
      <w:pPr>
        <w:spacing w:line="480" w:lineRule="auto"/>
        <w:ind w:firstLine="720"/>
      </w:pPr>
      <w:r w:rsidRPr="00CC7EF0">
        <w:t xml:space="preserve">The issue of </w:t>
      </w:r>
      <w:proofErr w:type="spellStart"/>
      <w:r w:rsidRPr="00CC7EF0">
        <w:t>polypharmacy</w:t>
      </w:r>
      <w:proofErr w:type="spellEnd"/>
      <w:r w:rsidRPr="00CC7EF0">
        <w:t xml:space="preserve"> compounds the problem and is overwhelming in terms of the number of different medications, time to take them, and knowing about what each medication is used for </w:t>
      </w:r>
      <w:r w:rsidR="00383281" w:rsidRPr="00383281">
        <w:t>(Lam</w:t>
      </w:r>
      <w:r w:rsidRPr="00383281">
        <w:t xml:space="preserve"> </w:t>
      </w:r>
      <w:r w:rsidR="00383281" w:rsidRPr="00383281">
        <w:t xml:space="preserve">et </w:t>
      </w:r>
      <w:r w:rsidR="00462C9A" w:rsidRPr="00383281">
        <w:t>al.</w:t>
      </w:r>
      <w:r w:rsidRPr="00383281">
        <w:t>, 2010).</w:t>
      </w:r>
      <w:r w:rsidR="00852431" w:rsidRPr="00CC7EF0">
        <w:t xml:space="preserve">  Findings </w:t>
      </w:r>
      <w:r w:rsidR="00581746" w:rsidRPr="00CC7EF0">
        <w:t xml:space="preserve">from </w:t>
      </w:r>
      <w:r w:rsidR="00383281" w:rsidRPr="00383281">
        <w:t>Lam et al.</w:t>
      </w:r>
      <w:r w:rsidR="00581746" w:rsidRPr="00383281">
        <w:t xml:space="preserve"> </w:t>
      </w:r>
      <w:r w:rsidR="00462C9A" w:rsidRPr="00383281">
        <w:t>(2010)</w:t>
      </w:r>
      <w:r w:rsidRPr="00CC7EF0">
        <w:t xml:space="preserve"> provided evidence that their research is applic</w:t>
      </w:r>
      <w:r w:rsidR="00852431" w:rsidRPr="00CC7EF0">
        <w:t>able to community health nurses</w:t>
      </w:r>
      <w:r w:rsidRPr="00CC7EF0">
        <w:t xml:space="preserve"> because they work directly in homes with patients and families. Nurses should assess patient and family capabilities of medication management and educate them about methods to improve their compliance as it is in their scope of practice. According to the </w:t>
      </w:r>
      <w:r w:rsidRPr="00383281">
        <w:t>Agency for Healthcare Research and Quality</w:t>
      </w:r>
      <w:r w:rsidRPr="00CC7EF0">
        <w:t>, determining the abilities, limitations and health literacy in self-</w:t>
      </w:r>
      <w:r w:rsidRPr="00CC7EF0">
        <w:rPr>
          <w:rStyle w:val="fthighlight"/>
        </w:rPr>
        <w:t>administration</w:t>
      </w:r>
      <w:r w:rsidRPr="00CC7EF0">
        <w:t xml:space="preserve"> of </w:t>
      </w:r>
      <w:r w:rsidRPr="00CC7EF0">
        <w:rPr>
          <w:rStyle w:val="fthighlight"/>
        </w:rPr>
        <w:t>medication</w:t>
      </w:r>
      <w:r w:rsidRPr="00CC7EF0">
        <w:t>s is part of the nursing assessment of any client that is being discharged from the hospital</w:t>
      </w:r>
      <w:r w:rsidR="008C057D">
        <w:t>,</w:t>
      </w:r>
      <w:r w:rsidRPr="00CC7EF0">
        <w:t xml:space="preserve"> regardless of age or nature of disease </w:t>
      </w:r>
      <w:r w:rsidR="00383281">
        <w:t>(</w:t>
      </w:r>
      <w:proofErr w:type="spellStart"/>
      <w:r w:rsidR="00383281" w:rsidRPr="00B80C81">
        <w:t>Zwicker</w:t>
      </w:r>
      <w:proofErr w:type="spellEnd"/>
      <w:r w:rsidR="00383281" w:rsidRPr="00B80C81">
        <w:t>,</w:t>
      </w:r>
      <w:r w:rsidR="00383281">
        <w:t xml:space="preserve"> </w:t>
      </w:r>
      <w:proofErr w:type="spellStart"/>
      <w:r w:rsidR="00383281" w:rsidRPr="00B80C81">
        <w:t>Mezey</w:t>
      </w:r>
      <w:proofErr w:type="spellEnd"/>
      <w:r w:rsidR="00383281" w:rsidRPr="00B80C81">
        <w:t xml:space="preserve">, &amp; </w:t>
      </w:r>
      <w:r w:rsidR="00383281" w:rsidRPr="00B80C81">
        <w:lastRenderedPageBreak/>
        <w:t>Fulmer</w:t>
      </w:r>
      <w:r w:rsidRPr="00383281">
        <w:t>, 2008). This</w:t>
      </w:r>
      <w:r w:rsidRPr="00CC7EF0">
        <w:t xml:space="preserve"> became a guideline adopted by the United States and </w:t>
      </w:r>
      <w:r w:rsidR="008106BA" w:rsidRPr="00CC7EF0">
        <w:t xml:space="preserve">recommends </w:t>
      </w:r>
      <w:r w:rsidRPr="00CC7EF0">
        <w:t>close follow-up monitoring after discharge from the hospital</w:t>
      </w:r>
      <w:r w:rsidR="0051063D">
        <w:t>.</w:t>
      </w:r>
    </w:p>
    <w:p w:rsidR="00B548EB" w:rsidRPr="00CC7EF0" w:rsidRDefault="00B548EB" w:rsidP="00844C1C">
      <w:pPr>
        <w:spacing w:line="480" w:lineRule="auto"/>
        <w:ind w:firstLine="720"/>
      </w:pPr>
      <w:r w:rsidRPr="00CC7EF0">
        <w:t xml:space="preserve">Along with the roles of ensuring safety, advocating, providing education and supplying referrals to the patients as community nurses, it is also a responsibility of the nurse to promote empowerment. Empowering the patient means giving them the opportunity to practice independence. What can be more empowering than being able to self-medicate, be knowledgeable of one’s own health status and to be in control of one’s treatment? As stated by </w:t>
      </w:r>
      <w:r w:rsidR="0051063D">
        <w:t>Lam</w:t>
      </w:r>
      <w:r w:rsidRPr="0051063D">
        <w:t xml:space="preserve"> et al.</w:t>
      </w:r>
      <w:r w:rsidRPr="00CC7EF0">
        <w:t xml:space="preserve"> “…providing patients with an opportunity to self medicate in a supervised setting with education and support promotes confidence and competence in their medication management at home after hospital discharge” </w:t>
      </w:r>
      <w:r w:rsidRPr="0051063D">
        <w:t>(</w:t>
      </w:r>
      <w:r w:rsidR="0051063D" w:rsidRPr="0051063D">
        <w:t>2011, p</w:t>
      </w:r>
      <w:r w:rsidR="00852431" w:rsidRPr="0051063D">
        <w:t>. 81</w:t>
      </w:r>
      <w:r w:rsidRPr="0051063D">
        <w:t>). The</w:t>
      </w:r>
      <w:r w:rsidRPr="00CC7EF0">
        <w:t xml:space="preserve"> same support could come from the use of pill organizers and cues.</w:t>
      </w:r>
    </w:p>
    <w:p w:rsidR="002201FC" w:rsidRPr="00CC7EF0" w:rsidRDefault="002201FC" w:rsidP="00844C1C">
      <w:pPr>
        <w:spacing w:line="480" w:lineRule="auto"/>
        <w:jc w:val="center"/>
      </w:pPr>
      <w:r w:rsidRPr="00CC7EF0">
        <w:t>Implementation</w:t>
      </w:r>
    </w:p>
    <w:p w:rsidR="002201FC" w:rsidRPr="00CC7EF0" w:rsidRDefault="00CA4040" w:rsidP="00844C1C">
      <w:pPr>
        <w:spacing w:line="480" w:lineRule="auto"/>
        <w:ind w:firstLine="720"/>
      </w:pPr>
      <w:r w:rsidRPr="00CC7EF0">
        <w:t xml:space="preserve">How can nurses take these findings and apply them to practice? Clearly there are multiple methods that may help improve medication adherence. </w:t>
      </w:r>
      <w:r w:rsidR="002201FC" w:rsidRPr="00CC7EF0">
        <w:t xml:space="preserve">According to the study done </w:t>
      </w:r>
      <w:r w:rsidR="00932A4A" w:rsidRPr="00CC7EF0">
        <w:t xml:space="preserve">by </w:t>
      </w:r>
      <w:r w:rsidR="002201FC" w:rsidRPr="0051063D">
        <w:t>Lam</w:t>
      </w:r>
      <w:r w:rsidR="0051063D" w:rsidRPr="0051063D">
        <w:t xml:space="preserve"> et al.</w:t>
      </w:r>
      <w:r w:rsidR="002201FC" w:rsidRPr="0051063D">
        <w:t xml:space="preserve"> (2011)</w:t>
      </w:r>
      <w:r w:rsidR="004F1232" w:rsidRPr="0051063D">
        <w:t>,</w:t>
      </w:r>
      <w:r w:rsidR="004F1232" w:rsidRPr="00CC7EF0">
        <w:t xml:space="preserve"> the efficacy of</w:t>
      </w:r>
      <w:r w:rsidR="00852431" w:rsidRPr="00CC7EF0">
        <w:t xml:space="preserve"> implementing </w:t>
      </w:r>
      <w:r w:rsidR="008C057D">
        <w:t xml:space="preserve">a </w:t>
      </w:r>
      <w:r w:rsidRPr="00CC7EF0">
        <w:t>SAMP</w:t>
      </w:r>
      <w:r w:rsidR="00462C9A" w:rsidRPr="00CC7EF0">
        <w:t xml:space="preserve"> </w:t>
      </w:r>
      <w:r w:rsidR="002201FC" w:rsidRPr="00CC7EF0">
        <w:t xml:space="preserve">and its impact on the self management of medication administration in the geriatric population </w:t>
      </w:r>
      <w:r w:rsidR="008106BA" w:rsidRPr="00CC7EF0">
        <w:t xml:space="preserve">is positive and </w:t>
      </w:r>
      <w:r w:rsidR="002201FC" w:rsidRPr="00CC7EF0">
        <w:t>may</w:t>
      </w:r>
      <w:r w:rsidR="00462C9A" w:rsidRPr="00CC7EF0">
        <w:t xml:space="preserve"> </w:t>
      </w:r>
      <w:r w:rsidR="002201FC" w:rsidRPr="00CC7EF0">
        <w:t>be one intervention to consider prior to the use of cues and</w:t>
      </w:r>
      <w:r w:rsidR="00D67AAF" w:rsidRPr="00CC7EF0">
        <w:t xml:space="preserve"> pill</w:t>
      </w:r>
      <w:r w:rsidR="002201FC" w:rsidRPr="00CC7EF0">
        <w:t>bo</w:t>
      </w:r>
      <w:r w:rsidR="00462C9A" w:rsidRPr="00CC7EF0">
        <w:t xml:space="preserve">xes. As stated in the article, </w:t>
      </w:r>
      <w:r w:rsidRPr="00CC7EF0">
        <w:t>“</w:t>
      </w:r>
      <w:r w:rsidR="002201FC" w:rsidRPr="00CC7EF0">
        <w:t xml:space="preserve">A SAMP with increasing levels of independence maybe a useful addition to medication discharge planning in the aged care rehabilitation setting” </w:t>
      </w:r>
      <w:r w:rsidR="0051063D" w:rsidRPr="0051063D">
        <w:t>(Lam</w:t>
      </w:r>
      <w:r w:rsidR="002201FC" w:rsidRPr="0051063D">
        <w:t xml:space="preserve"> et al., 2011</w:t>
      </w:r>
      <w:r w:rsidR="00462C9A" w:rsidRPr="0051063D">
        <w:t>, p.</w:t>
      </w:r>
      <w:r w:rsidR="0051063D" w:rsidRPr="0051063D">
        <w:t xml:space="preserve"> </w:t>
      </w:r>
      <w:r w:rsidR="00462C9A" w:rsidRPr="0051063D">
        <w:t>85</w:t>
      </w:r>
      <w:r w:rsidR="002201FC" w:rsidRPr="0051063D">
        <w:t>)</w:t>
      </w:r>
      <w:r w:rsidR="002201FC" w:rsidRPr="00CC7EF0">
        <w:t xml:space="preserve">. The first step towards implementing a plan for patients to self manage their medication would be to assess if the patient is coherent enough and physically functional to organize and administer their own medications. </w:t>
      </w:r>
      <w:r w:rsidR="0051063D" w:rsidRPr="0051063D">
        <w:t>Fulmer</w:t>
      </w:r>
      <w:r w:rsidR="002201FC" w:rsidRPr="0051063D">
        <w:t xml:space="preserve"> et al. </w:t>
      </w:r>
      <w:r w:rsidR="00462C9A" w:rsidRPr="0051063D">
        <w:t>(2001)</w:t>
      </w:r>
      <w:r w:rsidR="00462C9A" w:rsidRPr="00CC7EF0">
        <w:t xml:space="preserve"> </w:t>
      </w:r>
      <w:r w:rsidR="002201FC" w:rsidRPr="00CC7EF0">
        <w:t xml:space="preserve">tackles this concept as they suggest the use of the Mini-Mental Status Exam </w:t>
      </w:r>
      <w:r w:rsidR="008106BA" w:rsidRPr="00CC7EF0">
        <w:t xml:space="preserve">(MMSE) </w:t>
      </w:r>
      <w:r w:rsidR="008C057D">
        <w:t>in</w:t>
      </w:r>
      <w:r w:rsidR="002201FC" w:rsidRPr="00CC7EF0">
        <w:t xml:space="preserve"> identifying </w:t>
      </w:r>
      <w:r w:rsidR="002201FC" w:rsidRPr="00CC7EF0">
        <w:lastRenderedPageBreak/>
        <w:t>depression as well as testin</w:t>
      </w:r>
      <w:r w:rsidR="00D67AAF" w:rsidRPr="00CC7EF0">
        <w:t>g skills</w:t>
      </w:r>
      <w:r w:rsidR="008C057D">
        <w:t>,</w:t>
      </w:r>
      <w:r w:rsidR="00D67AAF" w:rsidRPr="00CC7EF0">
        <w:t xml:space="preserve"> such as opening a pill</w:t>
      </w:r>
      <w:r w:rsidR="002201FC" w:rsidRPr="00CC7EF0">
        <w:t>box. These exams can help healthcare providers determine what types of tools and cues the patient ma</w:t>
      </w:r>
      <w:r w:rsidR="00D67AAF" w:rsidRPr="00CC7EF0">
        <w:t>y need to use in order to be</w:t>
      </w:r>
      <w:r w:rsidR="002201FC" w:rsidRPr="00CC7EF0">
        <w:t xml:space="preserve"> compliant with their medications. </w:t>
      </w:r>
      <w:r w:rsidR="0051063D" w:rsidRPr="0051063D">
        <w:t xml:space="preserve">Fulmer et al. </w:t>
      </w:r>
      <w:r w:rsidR="002201FC" w:rsidRPr="0051063D">
        <w:t>(2001)</w:t>
      </w:r>
      <w:r w:rsidR="002201FC" w:rsidRPr="00CC7EF0">
        <w:t xml:space="preserve"> addressed the medication compliance issue among the elderly</w:t>
      </w:r>
      <w:r w:rsidR="008C5CA7" w:rsidRPr="00CC7EF0">
        <w:t>,</w:t>
      </w:r>
      <w:r w:rsidR="002201FC" w:rsidRPr="00CC7EF0">
        <w:t xml:space="preserve"> citing several factors complicating the matter at hand. Issues like visual acuity, manual dexterity, and mental competency would all be noted when comprising a feasible plan for patients to safely medic</w:t>
      </w:r>
      <w:r w:rsidR="004F1232" w:rsidRPr="00CC7EF0">
        <w:t>ate themselves. VNS nurses can</w:t>
      </w:r>
      <w:r w:rsidR="002201FC" w:rsidRPr="00CC7EF0">
        <w:t xml:space="preserve"> then advocate for their patients to receive these specializ</w:t>
      </w:r>
      <w:r w:rsidR="006C456A">
        <w:t>ed medication boxes</w:t>
      </w:r>
      <w:r w:rsidR="004F1232" w:rsidRPr="00CC7EF0">
        <w:t xml:space="preserve"> through subsidized costs. The medication boxes sh</w:t>
      </w:r>
      <w:r w:rsidR="002201FC" w:rsidRPr="00CC7EF0">
        <w:t>ould be loaded and programmed by VNS</w:t>
      </w:r>
      <w:r w:rsidR="004F1232" w:rsidRPr="00CC7EF0">
        <w:t xml:space="preserve"> nurses</w:t>
      </w:r>
      <w:r w:rsidR="002201FC" w:rsidRPr="00CC7EF0">
        <w:t>.</w:t>
      </w:r>
    </w:p>
    <w:p w:rsidR="002201FC" w:rsidRPr="00CC7EF0" w:rsidRDefault="004F1232" w:rsidP="00844C1C">
      <w:pPr>
        <w:spacing w:line="480" w:lineRule="auto"/>
        <w:ind w:firstLine="720"/>
      </w:pPr>
      <w:r w:rsidRPr="00CC7EF0">
        <w:t xml:space="preserve"> The VNS nurses sh</w:t>
      </w:r>
      <w:r w:rsidR="002201FC" w:rsidRPr="00CC7EF0">
        <w:t>ould be responsible for educating all patients, family members, and caregivers (</w:t>
      </w:r>
      <w:r w:rsidR="00462C9A" w:rsidRPr="00CC7EF0">
        <w:t>i.e.</w:t>
      </w:r>
      <w:r w:rsidR="00005FA9" w:rsidRPr="00CC7EF0">
        <w:t xml:space="preserve"> </w:t>
      </w:r>
      <w:r w:rsidR="002201FC" w:rsidRPr="00CC7EF0">
        <w:t>home attendants) involved in the patient’</w:t>
      </w:r>
      <w:r w:rsidR="00005FA9" w:rsidRPr="00CC7EF0">
        <w:t>s care</w:t>
      </w:r>
      <w:r w:rsidR="008B0C58">
        <w:t>,</w:t>
      </w:r>
      <w:r w:rsidR="008106BA" w:rsidRPr="00CC7EF0">
        <w:t xml:space="preserve"> as it is in their scope of practice</w:t>
      </w:r>
      <w:r w:rsidR="00005FA9" w:rsidRPr="00CC7EF0">
        <w:t>. A mandatory in-service c</w:t>
      </w:r>
      <w:r w:rsidR="002201FC" w:rsidRPr="00CC7EF0">
        <w:t>ould be a requirement on proper use of the medication boxes. These boxes would be programmed</w:t>
      </w:r>
      <w:r w:rsidR="008B0C58">
        <w:t>,</w:t>
      </w:r>
      <w:r w:rsidR="002201FC" w:rsidRPr="00CC7EF0">
        <w:t xml:space="preserve"> by the doctors and nurses caring for the patient, to dispense specific medications at a specified time.  The medication box would have time sensitive alarms and audio recordings for those patients that are visually impaired. The audio recording would state the name of the drug dispensed. Other aids that might be useful include checklists, calendars, special packaging, clock faces attached to pill bottles and even emails, text messages or pagers if we try to take advantage of our new age technology </w:t>
      </w:r>
      <w:r w:rsidR="0051063D" w:rsidRPr="0051063D">
        <w:t>(</w:t>
      </w:r>
      <w:proofErr w:type="spellStart"/>
      <w:r w:rsidR="0051063D" w:rsidRPr="0051063D">
        <w:t>Littenberg</w:t>
      </w:r>
      <w:proofErr w:type="spellEnd"/>
      <w:r w:rsidR="0051063D" w:rsidRPr="0051063D">
        <w:t xml:space="preserve">, MacLean, &amp; </w:t>
      </w:r>
      <w:proofErr w:type="spellStart"/>
      <w:r w:rsidR="0051063D" w:rsidRPr="0051063D">
        <w:t>Hurowitz</w:t>
      </w:r>
      <w:proofErr w:type="spellEnd"/>
      <w:r w:rsidR="0051063D" w:rsidRPr="0051063D">
        <w:t>,</w:t>
      </w:r>
      <w:r w:rsidR="0051063D">
        <w:t xml:space="preserve"> </w:t>
      </w:r>
      <w:r w:rsidR="002201FC" w:rsidRPr="0051063D">
        <w:t>2006).</w:t>
      </w:r>
      <w:r w:rsidR="0015710E" w:rsidRPr="00CC7EF0">
        <w:t xml:space="preserve"> The nurses sh</w:t>
      </w:r>
      <w:r w:rsidR="002201FC" w:rsidRPr="00CC7EF0">
        <w:t>ould als</w:t>
      </w:r>
      <w:r w:rsidR="008106BA" w:rsidRPr="00CC7EF0">
        <w:t>o perform</w:t>
      </w:r>
      <w:r w:rsidR="002201FC" w:rsidRPr="00CC7EF0">
        <w:t xml:space="preserve"> follow-up phone calls</w:t>
      </w:r>
      <w:r w:rsidR="008106BA" w:rsidRPr="00CC7EF0">
        <w:t>,</w:t>
      </w:r>
      <w:r w:rsidR="002201FC" w:rsidRPr="00CC7EF0">
        <w:t xml:space="preserve"> asking</w:t>
      </w:r>
      <w:r w:rsidR="008106BA" w:rsidRPr="00CC7EF0">
        <w:t xml:space="preserve"> patients about any questions or</w:t>
      </w:r>
      <w:r w:rsidR="0015710E" w:rsidRPr="00CC7EF0">
        <w:t xml:space="preserve"> concerns </w:t>
      </w:r>
      <w:r w:rsidR="002201FC" w:rsidRPr="00CC7EF0">
        <w:t xml:space="preserve">affecting </w:t>
      </w:r>
      <w:r w:rsidR="008B0C58">
        <w:t xml:space="preserve">their </w:t>
      </w:r>
      <w:r w:rsidR="002201FC" w:rsidRPr="00CC7EF0">
        <w:t xml:space="preserve">medication adherence. This intervention of using phone calls has actually been adopted by the United States and is a guideline to nursing care according to the </w:t>
      </w:r>
      <w:r w:rsidR="002201FC" w:rsidRPr="0051063D">
        <w:t>Agency for Healthcare Research and Quality (</w:t>
      </w:r>
      <w:proofErr w:type="spellStart"/>
      <w:r w:rsidR="0051063D" w:rsidRPr="00B80C81">
        <w:t>Zwicke</w:t>
      </w:r>
      <w:r w:rsidR="0051063D">
        <w:t>r</w:t>
      </w:r>
      <w:proofErr w:type="spellEnd"/>
      <w:r w:rsidR="0051063D">
        <w:t xml:space="preserve"> et al., </w:t>
      </w:r>
      <w:r w:rsidR="002201FC" w:rsidRPr="0051063D">
        <w:t>2008)</w:t>
      </w:r>
      <w:r w:rsidR="0015710E" w:rsidRPr="00CC7EF0">
        <w:t>.</w:t>
      </w:r>
    </w:p>
    <w:p w:rsidR="002201FC" w:rsidRPr="00CC7EF0" w:rsidRDefault="0015710E" w:rsidP="00844C1C">
      <w:pPr>
        <w:spacing w:line="480" w:lineRule="auto"/>
        <w:ind w:firstLine="720"/>
      </w:pPr>
      <w:r w:rsidRPr="00CC7EF0">
        <w:lastRenderedPageBreak/>
        <w:t>Patients should have regularly sc</w:t>
      </w:r>
      <w:r w:rsidR="002201FC" w:rsidRPr="00CC7EF0">
        <w:t>heduled meeting</w:t>
      </w:r>
      <w:r w:rsidRPr="00CC7EF0">
        <w:t>s</w:t>
      </w:r>
      <w:r w:rsidR="002201FC" w:rsidRPr="00CC7EF0">
        <w:t xml:space="preserve"> with a</w:t>
      </w:r>
      <w:r w:rsidRPr="00CC7EF0">
        <w:t xml:space="preserve"> soci</w:t>
      </w:r>
      <w:r w:rsidR="00454E1F" w:rsidRPr="00CC7EF0">
        <w:t>al worker</w:t>
      </w:r>
      <w:r w:rsidRPr="00CC7EF0">
        <w:t xml:space="preserve"> </w:t>
      </w:r>
      <w:r w:rsidR="002201FC" w:rsidRPr="00CC7EF0">
        <w:t>to discuss non-medical issues such as cost of medication.  Health is a c</w:t>
      </w:r>
      <w:r w:rsidR="008B0C58">
        <w:t xml:space="preserve">ollective effort </w:t>
      </w:r>
      <w:r w:rsidR="00575A82" w:rsidRPr="00CC7EF0">
        <w:t xml:space="preserve">in the geriatric population, </w:t>
      </w:r>
      <w:r w:rsidR="002201FC" w:rsidRPr="00CC7EF0">
        <w:t xml:space="preserve">and both VNS and </w:t>
      </w:r>
      <w:r w:rsidR="00454E1F" w:rsidRPr="00CC7EF0">
        <w:t>social work s</w:t>
      </w:r>
      <w:r w:rsidR="008B0C58">
        <w:t xml:space="preserve">hould work in collaboration </w:t>
      </w:r>
      <w:r w:rsidR="002201FC" w:rsidRPr="00CC7EF0">
        <w:t>with the patient to create a plan that will help the patient be adherent with their medicine while still allowing them to have some sort of independence</w:t>
      </w:r>
      <w:r w:rsidR="002201FC" w:rsidRPr="0051063D">
        <w:t xml:space="preserve"> (</w:t>
      </w:r>
      <w:r w:rsidR="0051063D" w:rsidRPr="0051063D">
        <w:t>Fulmer</w:t>
      </w:r>
      <w:r w:rsidR="00575A82" w:rsidRPr="0051063D">
        <w:t xml:space="preserve"> et al.</w:t>
      </w:r>
      <w:r w:rsidR="0051063D" w:rsidRPr="0051063D">
        <w:t>,</w:t>
      </w:r>
      <w:r w:rsidR="00575A82" w:rsidRPr="0051063D">
        <w:t xml:space="preserve"> 2001</w:t>
      </w:r>
      <w:r w:rsidR="002201FC" w:rsidRPr="0051063D">
        <w:t>).</w:t>
      </w:r>
      <w:r w:rsidR="00C27355" w:rsidRPr="00CC7EF0">
        <w:t xml:space="preserve"> </w:t>
      </w:r>
      <w:r w:rsidR="002201FC" w:rsidRPr="00CC7EF0">
        <w:t>The real lif</w:t>
      </w:r>
      <w:r w:rsidR="00454E1F" w:rsidRPr="00CC7EF0">
        <w:t>e applications of patients self-</w:t>
      </w:r>
      <w:r w:rsidR="002201FC" w:rsidRPr="00CC7EF0">
        <w:t>medicating themselves would empower these patients to feel a greater sense of independence as they will b</w:t>
      </w:r>
      <w:r w:rsidR="00C27355" w:rsidRPr="00CC7EF0">
        <w:t xml:space="preserve">e </w:t>
      </w:r>
      <w:r w:rsidR="002201FC" w:rsidRPr="00CC7EF0">
        <w:t xml:space="preserve">proactively managing their own health </w:t>
      </w:r>
      <w:r w:rsidR="002201FC" w:rsidRPr="0051063D">
        <w:t>(</w:t>
      </w:r>
      <w:r w:rsidR="0051063D" w:rsidRPr="0051063D">
        <w:t>Lam</w:t>
      </w:r>
      <w:r w:rsidR="002201FC" w:rsidRPr="0051063D">
        <w:t xml:space="preserve"> et al., 2011).</w:t>
      </w:r>
      <w:r w:rsidR="002201FC" w:rsidRPr="00CC7EF0">
        <w:t xml:space="preserve"> </w:t>
      </w:r>
    </w:p>
    <w:p w:rsidR="002201FC" w:rsidRPr="00CC7EF0" w:rsidRDefault="002201FC" w:rsidP="00844C1C">
      <w:pPr>
        <w:spacing w:line="480" w:lineRule="auto"/>
        <w:ind w:firstLine="720"/>
      </w:pPr>
      <w:r w:rsidRPr="00CC7EF0">
        <w:t>Community Nurses can also advocate for the patients who can’t afford adherence aids such as the sophisticated computerized dispensing machines. If funding is an issue, patients can always resort to the weekday labeled pill boxes, or the simple calendar</w:t>
      </w:r>
      <w:r w:rsidR="00682473" w:rsidRPr="00CC7EF0">
        <w:t xml:space="preserve"> pencil method. Whatever intervention</w:t>
      </w:r>
      <w:r w:rsidRPr="00CC7EF0">
        <w:t xml:space="preserve"> is</w:t>
      </w:r>
      <w:r w:rsidR="009C6F51" w:rsidRPr="00CC7EF0">
        <w:t xml:space="preserve"> chosen, the nurse has to determine</w:t>
      </w:r>
      <w:r w:rsidRPr="00CC7EF0">
        <w:t xml:space="preserve"> if </w:t>
      </w:r>
      <w:r w:rsidR="009C6F51" w:rsidRPr="00CC7EF0">
        <w:t>it</w:t>
      </w:r>
      <w:r w:rsidRPr="00CC7EF0">
        <w:t xml:space="preserve"> is suitable for the </w:t>
      </w:r>
      <w:proofErr w:type="gramStart"/>
      <w:r w:rsidRPr="00CC7EF0">
        <w:t>patients</w:t>
      </w:r>
      <w:proofErr w:type="gramEnd"/>
      <w:r w:rsidRPr="00CC7EF0">
        <w:t xml:space="preserve"> capabilities</w:t>
      </w:r>
      <w:r w:rsidR="009C6F51" w:rsidRPr="00CC7EF0">
        <w:t xml:space="preserve"> a</w:t>
      </w:r>
      <w:r w:rsidR="00454E1F" w:rsidRPr="00CC7EF0">
        <w:t xml:space="preserve">nd should monitor </w:t>
      </w:r>
      <w:r w:rsidR="008B0C58">
        <w:t xml:space="preserve">and follow up on </w:t>
      </w:r>
      <w:r w:rsidR="00454E1F" w:rsidRPr="00CC7EF0">
        <w:t>adherence</w:t>
      </w:r>
      <w:r w:rsidRPr="00CC7EF0">
        <w:t>.</w:t>
      </w:r>
    </w:p>
    <w:p w:rsidR="00D34CAE" w:rsidRPr="00CC7EF0" w:rsidRDefault="002201FC" w:rsidP="00844C1C">
      <w:pPr>
        <w:spacing w:line="480" w:lineRule="auto"/>
        <w:ind w:firstLine="720"/>
      </w:pPr>
      <w:r w:rsidRPr="00CC7EF0">
        <w:t>Aside fro</w:t>
      </w:r>
      <w:r w:rsidR="009C6F51" w:rsidRPr="00CC7EF0">
        <w:t>m the use of cues, organizers and phone call or text message reminders</w:t>
      </w:r>
      <w:r w:rsidRPr="00CC7EF0">
        <w:t>, it is</w:t>
      </w:r>
      <w:r w:rsidR="009C6F51" w:rsidRPr="00CC7EF0">
        <w:t xml:space="preserve"> also important the healthcare providers</w:t>
      </w:r>
      <w:r w:rsidRPr="00CC7EF0">
        <w:t xml:space="preserve"> look at each patient’s medication regimen and make alterations to prescriptions, as suggested by </w:t>
      </w:r>
      <w:proofErr w:type="spellStart"/>
      <w:r w:rsidR="0051063D" w:rsidRPr="0051063D">
        <w:t>DeBartolomeo-</w:t>
      </w:r>
      <w:r w:rsidRPr="0051063D">
        <w:t>Mager</w:t>
      </w:r>
      <w:proofErr w:type="spellEnd"/>
      <w:r w:rsidRPr="0051063D">
        <w:t xml:space="preserve"> and Madigan (2010).</w:t>
      </w:r>
      <w:r w:rsidRPr="00CC7EF0">
        <w:t xml:space="preserve"> In their study, patients were not taking medications because they were too big to swallow or because they could not stay up to take their evening doses. The study concluded that </w:t>
      </w:r>
      <w:r w:rsidRPr="00946824">
        <w:t>“an individualized medication regimen should be explored with the patient, physician and pharmacist… to decrease the number of [medication errors]” (</w:t>
      </w:r>
      <w:proofErr w:type="spellStart"/>
      <w:r w:rsidRPr="00946824">
        <w:t>DeBartolomeo</w:t>
      </w:r>
      <w:r w:rsidR="00946824" w:rsidRPr="00946824">
        <w:t>-Mager</w:t>
      </w:r>
      <w:proofErr w:type="spellEnd"/>
      <w:r w:rsidRPr="00946824">
        <w:t xml:space="preserve"> &amp; Madigan, 2010</w:t>
      </w:r>
      <w:r w:rsidR="00946824" w:rsidRPr="00946824">
        <w:t>, p. 20</w:t>
      </w:r>
      <w:r w:rsidRPr="00946824">
        <w:t>)</w:t>
      </w:r>
      <w:r w:rsidR="008106BA" w:rsidRPr="00946824">
        <w:t>.</w:t>
      </w:r>
    </w:p>
    <w:p w:rsidR="00116065" w:rsidRPr="00CC7EF0" w:rsidRDefault="00802BF8" w:rsidP="00844C1C">
      <w:pPr>
        <w:spacing w:line="480" w:lineRule="auto"/>
        <w:ind w:firstLine="720"/>
        <w:jc w:val="center"/>
      </w:pPr>
      <w:r w:rsidRPr="00CC7EF0">
        <w:t>Evaluation</w:t>
      </w:r>
    </w:p>
    <w:p w:rsidR="00CE6BD9" w:rsidRPr="00946824" w:rsidRDefault="00335562" w:rsidP="00844C1C">
      <w:pPr>
        <w:widowControl w:val="0"/>
        <w:autoSpaceDE w:val="0"/>
        <w:autoSpaceDN w:val="0"/>
        <w:adjustRightInd w:val="0"/>
        <w:spacing w:line="480" w:lineRule="auto"/>
        <w:ind w:firstLine="720"/>
      </w:pPr>
      <w:r w:rsidRPr="00CC7EF0">
        <w:t>One final detail that must be taken int</w:t>
      </w:r>
      <w:r w:rsidRPr="00946824">
        <w:t xml:space="preserve">o consideration prior to the implementation </w:t>
      </w:r>
      <w:r w:rsidRPr="00946824">
        <w:lastRenderedPageBreak/>
        <w:t xml:space="preserve">of using tools and interventions to improve medication adherence is </w:t>
      </w:r>
      <w:r w:rsidR="002F65FE" w:rsidRPr="00946824">
        <w:t xml:space="preserve">to determine </w:t>
      </w:r>
      <w:r w:rsidRPr="00946824">
        <w:t xml:space="preserve">whether these strategies can </w:t>
      </w:r>
      <w:r w:rsidR="002F65FE" w:rsidRPr="00946824">
        <w:t xml:space="preserve">realistically </w:t>
      </w:r>
      <w:r w:rsidRPr="00946824">
        <w:t>be applied to homecare</w:t>
      </w:r>
      <w:r w:rsidR="002F65FE" w:rsidRPr="00946824">
        <w:t>.</w:t>
      </w:r>
      <w:r w:rsidR="009A78C6" w:rsidRPr="00946824">
        <w:t xml:space="preserve"> </w:t>
      </w:r>
      <w:r w:rsidR="002F65FE" w:rsidRPr="00946824">
        <w:t xml:space="preserve"> </w:t>
      </w:r>
      <w:r w:rsidR="009A78C6" w:rsidRPr="00946824">
        <w:t>As described above, t</w:t>
      </w:r>
      <w:r w:rsidR="00CE6BD9" w:rsidRPr="00946824">
        <w:t>he use of both the self-admini</w:t>
      </w:r>
      <w:r w:rsidR="00454E1F" w:rsidRPr="00946824">
        <w:t>stration of medications program</w:t>
      </w:r>
      <w:r w:rsidR="00CE6BD9" w:rsidRPr="00946824">
        <w:t xml:space="preserve"> </w:t>
      </w:r>
      <w:r w:rsidR="00454E1F" w:rsidRPr="00946824">
        <w:t>(</w:t>
      </w:r>
      <w:r w:rsidR="00CE6BD9" w:rsidRPr="00946824">
        <w:t>SAMP</w:t>
      </w:r>
      <w:r w:rsidR="00454E1F" w:rsidRPr="00946824">
        <w:t>)</w:t>
      </w:r>
      <w:r w:rsidR="00CE6BD9" w:rsidRPr="00946824">
        <w:t xml:space="preserve"> and the incorporation of the Drug Regimen Unassisted Grading Scale (DRUGS), worked best when used t</w:t>
      </w:r>
      <w:r w:rsidR="0015710E" w:rsidRPr="00946824">
        <w:t>ogether. The DRUGS instrument was useful in</w:t>
      </w:r>
      <w:r w:rsidR="00CE6BD9" w:rsidRPr="00946824">
        <w:t xml:space="preserve"> id</w:t>
      </w:r>
      <w:r w:rsidR="0015710E" w:rsidRPr="00946824">
        <w:t>entifying difficulties patients</w:t>
      </w:r>
      <w:r w:rsidR="00CE6BD9" w:rsidRPr="00946824">
        <w:t xml:space="preserve"> had with medication management</w:t>
      </w:r>
      <w:r w:rsidR="009A78C6" w:rsidRPr="00946824">
        <w:t xml:space="preserve"> </w:t>
      </w:r>
      <w:r w:rsidR="00946824" w:rsidRPr="00946824">
        <w:t>(Lam</w:t>
      </w:r>
      <w:r w:rsidR="009A78C6" w:rsidRPr="00946824">
        <w:t xml:space="preserve"> et al., 2011)</w:t>
      </w:r>
      <w:r w:rsidR="00CE6BD9" w:rsidRPr="00946824">
        <w:t xml:space="preserve">. </w:t>
      </w:r>
      <w:r w:rsidR="009A78C6" w:rsidRPr="00946824">
        <w:t xml:space="preserve">Applying SAMP to newly discharged patients is a </w:t>
      </w:r>
      <w:r w:rsidR="008B0C58">
        <w:t>practical intervention since this</w:t>
      </w:r>
      <w:r w:rsidR="00466CF7" w:rsidRPr="00946824">
        <w:t xml:space="preserve"> simple assessment</w:t>
      </w:r>
      <w:r w:rsidR="008B0C58">
        <w:t xml:space="preserve"> tool is able </w:t>
      </w:r>
      <w:r w:rsidR="00466CF7" w:rsidRPr="00946824">
        <w:t>to identify adherence behavior</w:t>
      </w:r>
      <w:r w:rsidR="00454E1F" w:rsidRPr="00946824">
        <w:t xml:space="preserve"> and patient knowledge</w:t>
      </w:r>
      <w:r w:rsidR="00466CF7" w:rsidRPr="00946824">
        <w:t xml:space="preserve"> </w:t>
      </w:r>
      <w:r w:rsidR="008B0C58">
        <w:t>which in turn will be a good</w:t>
      </w:r>
      <w:r w:rsidR="00466CF7" w:rsidRPr="00946824">
        <w:t xml:space="preserve"> indicator of whether or not the patients will be able to comply with medication regimens</w:t>
      </w:r>
      <w:r w:rsidR="009C6F51" w:rsidRPr="00946824">
        <w:t>. This will help</w:t>
      </w:r>
      <w:r w:rsidR="00216E57" w:rsidRPr="00946824">
        <w:t xml:space="preserve"> healthcare providers address any obstacles the patient may face against maintaining compliance and </w:t>
      </w:r>
      <w:r w:rsidR="00466CF7" w:rsidRPr="00946824">
        <w:t>will prevent complications of medication errors that might be missed once the patient is already home.</w:t>
      </w:r>
    </w:p>
    <w:p w:rsidR="00CE6BD9" w:rsidRPr="00946824" w:rsidRDefault="00CE6BD9" w:rsidP="00844C1C">
      <w:pPr>
        <w:widowControl w:val="0"/>
        <w:autoSpaceDE w:val="0"/>
        <w:autoSpaceDN w:val="0"/>
        <w:adjustRightInd w:val="0"/>
        <w:spacing w:line="480" w:lineRule="auto"/>
        <w:ind w:firstLine="720"/>
      </w:pPr>
      <w:r w:rsidRPr="00946824">
        <w:t xml:space="preserve">The use </w:t>
      </w:r>
      <w:r w:rsidR="00FC3409" w:rsidRPr="00946824">
        <w:t xml:space="preserve">of the </w:t>
      </w:r>
      <w:r w:rsidRPr="00946824">
        <w:t xml:space="preserve">MMSE </w:t>
      </w:r>
      <w:r w:rsidR="00575A82" w:rsidRPr="00946824">
        <w:t>was</w:t>
      </w:r>
      <w:r w:rsidRPr="00946824">
        <w:t xml:space="preserve"> effective in determining co</w:t>
      </w:r>
      <w:r w:rsidR="007721A4" w:rsidRPr="00946824">
        <w:t xml:space="preserve">gnitive deficits. A MMSE score less than </w:t>
      </w:r>
      <w:r w:rsidRPr="00946824">
        <w:t>2</w:t>
      </w:r>
      <w:r w:rsidR="007721A4" w:rsidRPr="00946824">
        <w:t>4 was found to be a</w:t>
      </w:r>
      <w:r w:rsidRPr="00946824">
        <w:t xml:space="preserve"> risk factor for poor outcome on the medication management assessment </w:t>
      </w:r>
      <w:r w:rsidR="00946824" w:rsidRPr="00946824">
        <w:t>(Lam</w:t>
      </w:r>
      <w:r w:rsidRPr="00946824">
        <w:t xml:space="preserve"> et al., 2011).</w:t>
      </w:r>
      <w:r w:rsidR="00FC3409" w:rsidRPr="00946824">
        <w:t xml:space="preserve"> The evaluation of specific patient factors such as patient</w:t>
      </w:r>
      <w:r w:rsidRPr="00946824">
        <w:t xml:space="preserve"> education, visual acuity, me</w:t>
      </w:r>
      <w:r w:rsidR="00FC3409" w:rsidRPr="00946824">
        <w:t>ntal dexterity to asse</w:t>
      </w:r>
      <w:r w:rsidR="00466CF7" w:rsidRPr="00946824">
        <w:t>s</w:t>
      </w:r>
      <w:r w:rsidR="00FC3409" w:rsidRPr="00946824">
        <w:t xml:space="preserve">s competency, can be performed </w:t>
      </w:r>
      <w:r w:rsidRPr="00946824">
        <w:t xml:space="preserve">by the </w:t>
      </w:r>
      <w:r w:rsidR="00575A82" w:rsidRPr="00946824">
        <w:t>home health nu</w:t>
      </w:r>
      <w:r w:rsidR="00565E62">
        <w:t xml:space="preserve">rse.  In fact, </w:t>
      </w:r>
      <w:r w:rsidR="00FC3409" w:rsidRPr="00946824">
        <w:t>the study shows how it</w:t>
      </w:r>
      <w:r w:rsidRPr="00946824">
        <w:t xml:space="preserve"> improves the likelihood that the patient will comply with the specified regimen. </w:t>
      </w:r>
      <w:r w:rsidR="00575A82" w:rsidRPr="00946824">
        <w:t xml:space="preserve">Supplying </w:t>
      </w:r>
      <w:r w:rsidRPr="00946824">
        <w:t xml:space="preserve">checklists, </w:t>
      </w:r>
      <w:r w:rsidR="00005FA9" w:rsidRPr="00946824">
        <w:t>calendars</w:t>
      </w:r>
      <w:r w:rsidRPr="00946824">
        <w:t>, v</w:t>
      </w:r>
      <w:r w:rsidR="00FC3409" w:rsidRPr="00946824">
        <w:t>oice recordings and alarms are</w:t>
      </w:r>
      <w:r w:rsidRPr="00946824">
        <w:t xml:space="preserve"> effective with enhancing the </w:t>
      </w:r>
      <w:r w:rsidR="00454E1F" w:rsidRPr="00946824">
        <w:t>patient’s</w:t>
      </w:r>
      <w:r w:rsidR="00FC3409" w:rsidRPr="00946824">
        <w:t xml:space="preserve"> chances of compliance. </w:t>
      </w:r>
      <w:r w:rsidRPr="00946824">
        <w:t>“Even modest increments in adherence could have substantial impacts upon clinical outcomes and costs”</w:t>
      </w:r>
      <w:r w:rsidR="00005FA9" w:rsidRPr="00946824">
        <w:t xml:space="preserve"> </w:t>
      </w:r>
      <w:r w:rsidRPr="00946824">
        <w:t>(</w:t>
      </w:r>
      <w:proofErr w:type="spellStart"/>
      <w:r w:rsidR="00946824" w:rsidRPr="00946824">
        <w:t>Littenberg</w:t>
      </w:r>
      <w:proofErr w:type="spellEnd"/>
      <w:r w:rsidRPr="00946824">
        <w:t xml:space="preserve"> et al.</w:t>
      </w:r>
      <w:r w:rsidR="00005FA9" w:rsidRPr="00946824">
        <w:t>,</w:t>
      </w:r>
      <w:r w:rsidRPr="00946824">
        <w:t xml:space="preserve"> 2006</w:t>
      </w:r>
      <w:r w:rsidR="00946824" w:rsidRPr="00946824">
        <w:t>, p.2</w:t>
      </w:r>
      <w:r w:rsidRPr="00946824">
        <w:t>)</w:t>
      </w:r>
      <w:r w:rsidR="00FC3409" w:rsidRPr="00946824">
        <w:t>.</w:t>
      </w:r>
    </w:p>
    <w:p w:rsidR="00CE6BD9" w:rsidRPr="00946824" w:rsidRDefault="00CE6BD9" w:rsidP="00844C1C">
      <w:pPr>
        <w:widowControl w:val="0"/>
        <w:autoSpaceDE w:val="0"/>
        <w:autoSpaceDN w:val="0"/>
        <w:adjustRightInd w:val="0"/>
        <w:spacing w:line="480" w:lineRule="auto"/>
        <w:ind w:firstLine="720"/>
      </w:pPr>
      <w:r w:rsidRPr="00946824">
        <w:t xml:space="preserve">Adherence aids </w:t>
      </w:r>
      <w:r w:rsidR="00575A82" w:rsidRPr="00946824">
        <w:t>do</w:t>
      </w:r>
      <w:r w:rsidRPr="00946824">
        <w:t xml:space="preserve"> not</w:t>
      </w:r>
      <w:r w:rsidR="00575A82" w:rsidRPr="00946824">
        <w:t xml:space="preserve"> </w:t>
      </w:r>
      <w:r w:rsidR="00FC3409" w:rsidRPr="00946824">
        <w:t>necessarily</w:t>
      </w:r>
      <w:r w:rsidRPr="00946824">
        <w:t xml:space="preserve"> have to be widely successful</w:t>
      </w:r>
      <w:r w:rsidR="00575A82" w:rsidRPr="00946824">
        <w:t xml:space="preserve"> in order </w:t>
      </w:r>
      <w:r w:rsidRPr="00946824">
        <w:t xml:space="preserve">to be valuable. For instance, an intervention such as a day of the week pill box or a medication </w:t>
      </w:r>
      <w:r w:rsidRPr="00946824">
        <w:lastRenderedPageBreak/>
        <w:t>calendar, that costs no more than a few dollars per patient, would be cost-effective if it helped just one patient lower their A1C by</w:t>
      </w:r>
      <w:r w:rsidR="00575A82" w:rsidRPr="00946824">
        <w:t xml:space="preserve"> even </w:t>
      </w:r>
      <w:r w:rsidRPr="00946824">
        <w:t xml:space="preserve">one percentage point </w:t>
      </w:r>
      <w:r w:rsidR="00946824" w:rsidRPr="00946824">
        <w:t>(</w:t>
      </w:r>
      <w:proofErr w:type="spellStart"/>
      <w:r w:rsidR="00946824" w:rsidRPr="00946824">
        <w:t>Littenberg</w:t>
      </w:r>
      <w:proofErr w:type="spellEnd"/>
      <w:r w:rsidRPr="00946824">
        <w:t xml:space="preserve"> et al.</w:t>
      </w:r>
      <w:r w:rsidR="00946824" w:rsidRPr="00946824">
        <w:t>,</w:t>
      </w:r>
      <w:r w:rsidRPr="00946824">
        <w:t xml:space="preserve"> 2006). In the study done by </w:t>
      </w:r>
      <w:proofErr w:type="spellStart"/>
      <w:r w:rsidR="00946824" w:rsidRPr="00946824">
        <w:t>DeBartolomeo-Mager</w:t>
      </w:r>
      <w:proofErr w:type="spellEnd"/>
      <w:r w:rsidR="00946824" w:rsidRPr="00946824">
        <w:t xml:space="preserve"> and </w:t>
      </w:r>
      <w:r w:rsidRPr="00946824">
        <w:t>Madigan (2010)</w:t>
      </w:r>
      <w:r w:rsidR="00565E62">
        <w:t>,</w:t>
      </w:r>
      <w:r w:rsidRPr="00946824">
        <w:t xml:space="preserve"> patients that were closely observed</w:t>
      </w:r>
      <w:r w:rsidR="007721A4" w:rsidRPr="00946824">
        <w:t xml:space="preserve"> </w:t>
      </w:r>
      <w:r w:rsidR="00565E62">
        <w:t>by the entire medical staff, consisting of</w:t>
      </w:r>
      <w:r w:rsidRPr="00946824">
        <w:t xml:space="preserve"> doctors, nurses as well as pharmacists</w:t>
      </w:r>
      <w:r w:rsidR="00FC3409" w:rsidRPr="00946824">
        <w:t>,</w:t>
      </w:r>
      <w:r w:rsidRPr="00946824">
        <w:t xml:space="preserve"> decreased the risk of </w:t>
      </w:r>
      <w:r w:rsidR="00565E62">
        <w:t xml:space="preserve">alterations in medication administration. </w:t>
      </w:r>
      <w:r w:rsidRPr="00946824">
        <w:t>Medication errors were greatly reduced when all medical staff collaborated with each other</w:t>
      </w:r>
      <w:r w:rsidR="00575A82" w:rsidRPr="00946824">
        <w:t xml:space="preserve"> to evaluate just what was going on within t</w:t>
      </w:r>
      <w:r w:rsidR="00216E57" w:rsidRPr="00946824">
        <w:t>he home. Follow-</w:t>
      </w:r>
      <w:r w:rsidR="00FC3409" w:rsidRPr="00946824">
        <w:t>up phon</w:t>
      </w:r>
      <w:r w:rsidR="00565E62">
        <w:t>e ca</w:t>
      </w:r>
      <w:r w:rsidR="00575A82" w:rsidRPr="00946824">
        <w:t>lls were able to reveal n</w:t>
      </w:r>
      <w:r w:rsidR="00216E57" w:rsidRPr="00946824">
        <w:t xml:space="preserve">ot only the error itself but identified </w:t>
      </w:r>
      <w:r w:rsidR="00575A82" w:rsidRPr="00946824">
        <w:t>reason</w:t>
      </w:r>
      <w:r w:rsidR="00216E57" w:rsidRPr="00946824">
        <w:t>s</w:t>
      </w:r>
      <w:r w:rsidR="00575A82" w:rsidRPr="00946824">
        <w:t xml:space="preserve"> for the error. For example</w:t>
      </w:r>
      <w:r w:rsidR="00216E57" w:rsidRPr="00946824">
        <w:t>;</w:t>
      </w:r>
      <w:r w:rsidR="00575A82" w:rsidRPr="00946824">
        <w:t xml:space="preserve"> if a patient stated there was an omission in me</w:t>
      </w:r>
      <w:r w:rsidR="00216E57" w:rsidRPr="00946824">
        <w:t>dication, there would be follow-</w:t>
      </w:r>
      <w:r w:rsidR="00565E62">
        <w:t>up questions, as well as</w:t>
      </w:r>
      <w:r w:rsidR="00216E57" w:rsidRPr="00946824">
        <w:t xml:space="preserve"> a documented reason (i.e. </w:t>
      </w:r>
      <w:r w:rsidR="00575A82" w:rsidRPr="00946824">
        <w:t>patient missed dose because they fell asleep prior to scheduled time)</w:t>
      </w:r>
      <w:r w:rsidRPr="00946824">
        <w:t xml:space="preserve">. In the end </w:t>
      </w:r>
      <w:r w:rsidR="00575A82" w:rsidRPr="00946824">
        <w:t xml:space="preserve">phone calls began to reveal </w:t>
      </w:r>
      <w:r w:rsidR="00565E62">
        <w:t xml:space="preserve">that </w:t>
      </w:r>
      <w:r w:rsidRPr="00946824">
        <w:t>the patients overall outcomes and experiences were gre</w:t>
      </w:r>
      <w:r w:rsidR="00454E1F" w:rsidRPr="00946824">
        <w:t>atly improved with the collaboration and follow-</w:t>
      </w:r>
      <w:r w:rsidR="00575A82" w:rsidRPr="00946824">
        <w:t>up of medical staff.</w:t>
      </w:r>
    </w:p>
    <w:p w:rsidR="00750A15" w:rsidRPr="00946824" w:rsidRDefault="00750A15" w:rsidP="00844C1C">
      <w:pPr>
        <w:spacing w:line="480" w:lineRule="auto"/>
        <w:jc w:val="center"/>
      </w:pPr>
      <w:r w:rsidRPr="00946824">
        <w:t>DISCUSSION</w:t>
      </w:r>
    </w:p>
    <w:p w:rsidR="00D34CAE" w:rsidRPr="00946824" w:rsidRDefault="00D34CAE" w:rsidP="00844C1C">
      <w:pPr>
        <w:spacing w:line="480" w:lineRule="auto"/>
        <w:ind w:firstLine="720"/>
      </w:pPr>
      <w:r w:rsidRPr="00946824">
        <w:t>In the case of older adults</w:t>
      </w:r>
      <w:r w:rsidR="00FC3409" w:rsidRPr="00946824">
        <w:t xml:space="preserve">, </w:t>
      </w:r>
      <w:r w:rsidRPr="00946824">
        <w:t xml:space="preserve">does the use of organizers and cues improve medication compliance in the home setting? </w:t>
      </w:r>
      <w:r w:rsidR="00E71436" w:rsidRPr="00946824">
        <w:t xml:space="preserve">Yes. </w:t>
      </w:r>
      <w:r w:rsidRPr="00946824">
        <w:t>As we may know, th</w:t>
      </w:r>
      <w:r w:rsidR="00913CC5" w:rsidRPr="00946824">
        <w:t>e community dwelling elderly</w:t>
      </w:r>
      <w:r w:rsidRPr="00946824">
        <w:t xml:space="preserve"> population is at risk for medication errors and non-adherence due to their complex medication regimen</w:t>
      </w:r>
      <w:r w:rsidR="00913CC5" w:rsidRPr="00946824">
        <w:t>s that are targeted at treating chronic diseases</w:t>
      </w:r>
      <w:r w:rsidRPr="00946824">
        <w:t xml:space="preserve">. Lam </w:t>
      </w:r>
      <w:r w:rsidR="00E71436" w:rsidRPr="00946824">
        <w:t>et al</w:t>
      </w:r>
      <w:proofErr w:type="gramStart"/>
      <w:r w:rsidR="00946824" w:rsidRPr="00946824">
        <w:t>.,</w:t>
      </w:r>
      <w:proofErr w:type="gramEnd"/>
      <w:r w:rsidRPr="00946824">
        <w:t xml:space="preserve"> </w:t>
      </w:r>
      <w:r w:rsidR="00E71436" w:rsidRPr="00946824">
        <w:t>used the</w:t>
      </w:r>
      <w:r w:rsidRPr="00946824">
        <w:t xml:space="preserve"> SAMP </w:t>
      </w:r>
      <w:r w:rsidR="00E71436" w:rsidRPr="00946824">
        <w:t xml:space="preserve">method </w:t>
      </w:r>
      <w:r w:rsidRPr="00946824">
        <w:t>to a</w:t>
      </w:r>
      <w:r w:rsidR="00E71436" w:rsidRPr="00946824">
        <w:t xml:space="preserve">ssess </w:t>
      </w:r>
      <w:r w:rsidRPr="00946824">
        <w:t>the correlation of medication errors and</w:t>
      </w:r>
      <w:r w:rsidR="00E71436" w:rsidRPr="00946824">
        <w:t xml:space="preserve"> non-adherence related to </w:t>
      </w:r>
      <w:r w:rsidRPr="00946824">
        <w:t>education</w:t>
      </w:r>
      <w:r w:rsidR="00454E1F" w:rsidRPr="00946824">
        <w:t>, coherence and physical function</w:t>
      </w:r>
      <w:r w:rsidR="00E71436" w:rsidRPr="00946824">
        <w:t xml:space="preserve">. </w:t>
      </w:r>
      <w:proofErr w:type="spellStart"/>
      <w:r w:rsidR="00946824" w:rsidRPr="00946824">
        <w:t>Littenberg</w:t>
      </w:r>
      <w:proofErr w:type="spellEnd"/>
      <w:r w:rsidR="00E71436" w:rsidRPr="00946824">
        <w:t xml:space="preserve"> et al</w:t>
      </w:r>
      <w:r w:rsidR="00946824" w:rsidRPr="00946824">
        <w:t>.</w:t>
      </w:r>
      <w:r w:rsidR="00E71436" w:rsidRPr="00946824">
        <w:t>,</w:t>
      </w:r>
      <w:r w:rsidRPr="00946824">
        <w:t xml:space="preserve"> observed</w:t>
      </w:r>
      <w:r w:rsidR="00E71436" w:rsidRPr="00946824">
        <w:t xml:space="preserve"> the</w:t>
      </w:r>
      <w:r w:rsidRPr="00946824">
        <w:t xml:space="preserve"> us</w:t>
      </w:r>
      <w:r w:rsidR="00E71436" w:rsidRPr="00946824">
        <w:t>e of</w:t>
      </w:r>
      <w:r w:rsidRPr="00946824">
        <w:t xml:space="preserve"> several different medication aids. The most popular used medication aid</w:t>
      </w:r>
      <w:r w:rsidR="00454E1F" w:rsidRPr="00946824">
        <w:t>s were the day of the week pill</w:t>
      </w:r>
      <w:r w:rsidRPr="00946824">
        <w:t xml:space="preserve">boxes, putting medications in a special place or associating taking their medication with a daily </w:t>
      </w:r>
      <w:r w:rsidR="00575A82" w:rsidRPr="00946824">
        <w:t>cue</w:t>
      </w:r>
      <w:r w:rsidRPr="00946824">
        <w:t xml:space="preserve"> such as a meal, TV show, or bedtime. </w:t>
      </w:r>
      <w:r w:rsidRPr="00946824">
        <w:lastRenderedPageBreak/>
        <w:t> The results of the s</w:t>
      </w:r>
      <w:r w:rsidR="00454E1F" w:rsidRPr="00946824">
        <w:t xml:space="preserve">tudy showed that </w:t>
      </w:r>
      <w:r w:rsidRPr="00946824">
        <w:t xml:space="preserve">patients </w:t>
      </w:r>
      <w:r w:rsidR="00454E1F" w:rsidRPr="00946824">
        <w:t xml:space="preserve">who </w:t>
      </w:r>
      <w:r w:rsidR="00575A82" w:rsidRPr="00946824">
        <w:t>utilized</w:t>
      </w:r>
      <w:r w:rsidRPr="00946824">
        <w:t xml:space="preserve"> </w:t>
      </w:r>
      <w:r w:rsidR="00454E1F" w:rsidRPr="00946824">
        <w:t xml:space="preserve">organizers and cues </w:t>
      </w:r>
      <w:r w:rsidRPr="00946824">
        <w:t>had better adherence than those who didn’t u</w:t>
      </w:r>
      <w:r w:rsidR="00E71436" w:rsidRPr="00946824">
        <w:t>se any type of aids</w:t>
      </w:r>
      <w:r w:rsidR="006B6F2B" w:rsidRPr="00946824">
        <w:t>.</w:t>
      </w:r>
    </w:p>
    <w:p w:rsidR="00A521C4" w:rsidRPr="00CC7EF0" w:rsidRDefault="00946824" w:rsidP="00913CC5">
      <w:pPr>
        <w:spacing w:line="480" w:lineRule="auto"/>
        <w:ind w:firstLine="720"/>
      </w:pPr>
      <w:proofErr w:type="spellStart"/>
      <w:r w:rsidRPr="00946824">
        <w:t>DeBartolomeo-Mager</w:t>
      </w:r>
      <w:proofErr w:type="spellEnd"/>
      <w:r w:rsidR="00A521C4" w:rsidRPr="00946824">
        <w:t xml:space="preserve"> and Madigan (2001) report</w:t>
      </w:r>
      <w:r w:rsidR="00D34CAE" w:rsidRPr="00946824">
        <w:t xml:space="preserve"> two-thirds of the communit</w:t>
      </w:r>
      <w:r w:rsidR="00454E1F" w:rsidRPr="00946824">
        <w:t>y dwelling older patients who are receiving home</w:t>
      </w:r>
      <w:r w:rsidR="00D34CAE" w:rsidRPr="00946824">
        <w:t>care serv</w:t>
      </w:r>
      <w:r w:rsidR="00A521C4" w:rsidRPr="00946824">
        <w:t xml:space="preserve">ices </w:t>
      </w:r>
      <w:r w:rsidR="00454E1F" w:rsidRPr="00946824">
        <w:t>are likely to make medication errors. Their study</w:t>
      </w:r>
      <w:r w:rsidR="00A521C4" w:rsidRPr="00946824">
        <w:t xml:space="preserve"> is</w:t>
      </w:r>
      <w:r w:rsidR="00D34CAE" w:rsidRPr="00946824">
        <w:t xml:space="preserve"> particularly concer</w:t>
      </w:r>
      <w:r w:rsidR="00454E1F" w:rsidRPr="00946824">
        <w:t>ning in that the subjects used</w:t>
      </w:r>
      <w:r w:rsidR="00E67969" w:rsidRPr="00946824">
        <w:t xml:space="preserve"> to conduct the research were less stable than those who were</w:t>
      </w:r>
      <w:r w:rsidR="00D34CAE" w:rsidRPr="00946824">
        <w:t xml:space="preserve"> recently discharged home from the hospital or were new to home healthcare.</w:t>
      </w:r>
      <w:r w:rsidR="00D34CAE" w:rsidRPr="00CC7EF0">
        <w:t xml:space="preserve"> </w:t>
      </w:r>
    </w:p>
    <w:p w:rsidR="00A521C4" w:rsidRPr="00CC7EF0" w:rsidRDefault="00A521C4" w:rsidP="00844C1C">
      <w:pPr>
        <w:spacing w:line="480" w:lineRule="auto"/>
        <w:jc w:val="center"/>
      </w:pPr>
      <w:r w:rsidRPr="00CC7EF0">
        <w:t>Conclusion</w:t>
      </w:r>
    </w:p>
    <w:p w:rsidR="00A52074" w:rsidRPr="00CC7EF0" w:rsidRDefault="00A521C4" w:rsidP="00844C1C">
      <w:pPr>
        <w:spacing w:line="480" w:lineRule="auto"/>
      </w:pPr>
      <w:r w:rsidRPr="00CC7EF0">
        <w:tab/>
        <w:t>From a clinical perspective it seems home health clinicians need to consider all home healthcare patients at ri</w:t>
      </w:r>
      <w:r w:rsidR="00565E62">
        <w:t>sk for medication error. Due to the g</w:t>
      </w:r>
      <w:r w:rsidRPr="00CC7EF0">
        <w:t xml:space="preserve">rowing number of aging adults in the United </w:t>
      </w:r>
      <w:r w:rsidR="00844C1C" w:rsidRPr="00CC7EF0">
        <w:t>States,</w:t>
      </w:r>
      <w:r w:rsidR="00913CC5" w:rsidRPr="00CC7EF0">
        <w:t xml:space="preserve"> it is essential to</w:t>
      </w:r>
      <w:r w:rsidRPr="00CC7EF0">
        <w:t xml:space="preserve"> implement strategies that will improve compliance out in the community</w:t>
      </w:r>
      <w:r w:rsidR="00913CC5" w:rsidRPr="00CC7EF0">
        <w:t xml:space="preserve"> to decrease hospital stay and cost</w:t>
      </w:r>
      <w:r w:rsidR="008D2C2A" w:rsidRPr="00CC7EF0">
        <w:t>,</w:t>
      </w:r>
      <w:r w:rsidR="00913CC5" w:rsidRPr="00CC7EF0">
        <w:t xml:space="preserve"> and to prevent injury from medication error</w:t>
      </w:r>
      <w:r w:rsidR="00565E62">
        <w:t>s</w:t>
      </w:r>
      <w:r w:rsidRPr="00CC7EF0">
        <w:t xml:space="preserve">. </w:t>
      </w:r>
      <w:r w:rsidR="00913CC5" w:rsidRPr="00CC7EF0">
        <w:t>Some interventions that were considered reasonable included the use of assessments to determine whether patients are physically and cognitively</w:t>
      </w:r>
      <w:r w:rsidR="00565E62">
        <w:t xml:space="preserve"> capable of self administration, </w:t>
      </w:r>
      <w:r w:rsidR="00913CC5" w:rsidRPr="00CC7EF0">
        <w:t>follow-up phone calls to reinf</w:t>
      </w:r>
      <w:r w:rsidR="00565E62">
        <w:t>orce education on prescriptions,</w:t>
      </w:r>
      <w:r w:rsidR="00913CC5" w:rsidRPr="00CC7EF0">
        <w:t xml:space="preserve"> the use of pill organizers and cues such as </w:t>
      </w:r>
      <w:r w:rsidR="00F17595" w:rsidRPr="00CC7EF0">
        <w:t>placing p</w:t>
      </w:r>
      <w:r w:rsidR="00565E62">
        <w:t xml:space="preserve">ills in a special location, </w:t>
      </w:r>
      <w:r w:rsidR="00F17595" w:rsidRPr="00CC7EF0">
        <w:t>taking the medication with an event</w:t>
      </w:r>
      <w:r w:rsidR="00565E62">
        <w:t xml:space="preserve">, </w:t>
      </w:r>
      <w:r w:rsidR="00E67969" w:rsidRPr="00CC7EF0">
        <w:t>and the use of technology like text messaging or email reminders</w:t>
      </w:r>
      <w:r w:rsidR="00F17595" w:rsidRPr="00CC7EF0">
        <w:t xml:space="preserve">. </w:t>
      </w:r>
      <w:r w:rsidR="00844C1C" w:rsidRPr="00CC7EF0">
        <w:t>In total, the efficacy of the previ</w:t>
      </w:r>
      <w:r w:rsidR="00E67969" w:rsidRPr="00CC7EF0">
        <w:t>ously studied aids such as pill</w:t>
      </w:r>
      <w:r w:rsidR="00844C1C" w:rsidRPr="00CC7EF0">
        <w:t>boxes, cues, and reminder phone</w:t>
      </w:r>
      <w:r w:rsidR="00E67969" w:rsidRPr="00CC7EF0">
        <w:t xml:space="preserve"> calls has yet to be determined; h</w:t>
      </w:r>
      <w:r w:rsidR="00844C1C" w:rsidRPr="00CC7EF0">
        <w:t>owever</w:t>
      </w:r>
      <w:r w:rsidR="00E67969" w:rsidRPr="00CC7EF0">
        <w:t>,</w:t>
      </w:r>
      <w:r w:rsidR="00844C1C" w:rsidRPr="00CC7EF0">
        <w:t xml:space="preserve"> it can only improve compliance and will</w:t>
      </w:r>
      <w:r w:rsidR="00F17595" w:rsidRPr="00CC7EF0">
        <w:t xml:space="preserve"> not hinder it, so it is crucial that </w:t>
      </w:r>
      <w:r w:rsidR="00E67969" w:rsidRPr="00CC7EF0">
        <w:t>homecare nurses encourage and advocate for the use of these aids</w:t>
      </w:r>
      <w:r w:rsidR="00844C1C" w:rsidRPr="00CC7EF0">
        <w:t xml:space="preserve">. </w:t>
      </w:r>
    </w:p>
    <w:p w:rsidR="00844C1C" w:rsidRDefault="00844C1C" w:rsidP="00923572">
      <w:pPr>
        <w:pStyle w:val="citation1"/>
        <w:ind w:firstLine="0"/>
        <w:rPr>
          <w:color w:val="FF0000"/>
          <w:sz w:val="24"/>
          <w:szCs w:val="24"/>
        </w:rPr>
      </w:pPr>
    </w:p>
    <w:p w:rsidR="00946824" w:rsidRDefault="00946824" w:rsidP="00923572">
      <w:pPr>
        <w:pStyle w:val="citation1"/>
        <w:ind w:firstLine="0"/>
        <w:rPr>
          <w:color w:val="FF0000"/>
          <w:sz w:val="24"/>
          <w:szCs w:val="24"/>
        </w:rPr>
      </w:pPr>
    </w:p>
    <w:p w:rsidR="00B80C81" w:rsidRPr="00876EAD" w:rsidRDefault="00B80C81" w:rsidP="00B80C81">
      <w:pPr>
        <w:spacing w:line="480" w:lineRule="auto"/>
        <w:jc w:val="center"/>
      </w:pPr>
      <w:r w:rsidRPr="00876EAD">
        <w:lastRenderedPageBreak/>
        <w:t>References</w:t>
      </w:r>
    </w:p>
    <w:p w:rsidR="00B80C81" w:rsidRDefault="00B80C81" w:rsidP="00B80C81">
      <w:pPr>
        <w:spacing w:line="480" w:lineRule="auto"/>
      </w:pPr>
      <w:proofErr w:type="gramStart"/>
      <w:r w:rsidRPr="00B80C81">
        <w:t xml:space="preserve">Fulmer, T., Kim, T.S., Montgomery, K., &amp; </w:t>
      </w:r>
      <w:proofErr w:type="spellStart"/>
      <w:r w:rsidRPr="00B80C81">
        <w:t>Lyder</w:t>
      </w:r>
      <w:proofErr w:type="spellEnd"/>
      <w:r w:rsidRPr="00B80C81">
        <w:t>, C. (2001).</w:t>
      </w:r>
      <w:proofErr w:type="gramEnd"/>
      <w:r w:rsidRPr="00B80C81">
        <w:t xml:space="preserve"> What the Literature Tells </w:t>
      </w:r>
    </w:p>
    <w:p w:rsidR="00B80C81" w:rsidRPr="00B80C81" w:rsidRDefault="00B80C81" w:rsidP="00B80C81">
      <w:pPr>
        <w:spacing w:line="480" w:lineRule="auto"/>
        <w:ind w:left="720"/>
      </w:pPr>
      <w:r w:rsidRPr="00B80C81">
        <w:t xml:space="preserve">Us </w:t>
      </w:r>
      <w:proofErr w:type="gramStart"/>
      <w:r w:rsidRPr="00B80C81">
        <w:t>About</w:t>
      </w:r>
      <w:proofErr w:type="gramEnd"/>
      <w:r w:rsidRPr="00B80C81">
        <w:t xml:space="preserve"> the Complexity of Medication Compliance in the Elderly. </w:t>
      </w:r>
      <w:proofErr w:type="gramStart"/>
      <w:r>
        <w:t xml:space="preserve">Retrieved </w:t>
      </w:r>
      <w:r w:rsidRPr="00B80C81">
        <w:t>from http:// generations.metapress.com/content/y1245136l542u324.</w:t>
      </w:r>
      <w:proofErr w:type="gramEnd"/>
    </w:p>
    <w:p w:rsidR="00EC01CF" w:rsidRDefault="00B80C81" w:rsidP="00EC01CF">
      <w:pPr>
        <w:pStyle w:val="Heading1"/>
        <w:spacing w:before="0" w:after="0" w:line="480" w:lineRule="auto"/>
        <w:ind w:right="475"/>
        <w:rPr>
          <w:rFonts w:ascii="Times New Roman" w:hAnsi="Times New Roman"/>
          <w:b w:val="0"/>
          <w:sz w:val="24"/>
          <w:szCs w:val="24"/>
        </w:rPr>
      </w:pPr>
      <w:r w:rsidRPr="00B80C81">
        <w:rPr>
          <w:rFonts w:ascii="Times New Roman" w:hAnsi="Times New Roman"/>
          <w:b w:val="0"/>
          <w:sz w:val="24"/>
          <w:szCs w:val="24"/>
        </w:rPr>
        <w:t>Lam, P., Elliot, R.A., &amp; George, J. (2009, November).</w:t>
      </w:r>
      <w:r w:rsidRPr="00B80C81">
        <w:rPr>
          <w:rFonts w:ascii="Times New Roman" w:hAnsi="Times New Roman"/>
          <w:sz w:val="24"/>
          <w:szCs w:val="24"/>
        </w:rPr>
        <w:t xml:space="preserve"> </w:t>
      </w:r>
      <w:r>
        <w:rPr>
          <w:rFonts w:ascii="Times New Roman" w:hAnsi="Times New Roman"/>
          <w:b w:val="0"/>
          <w:sz w:val="24"/>
          <w:szCs w:val="24"/>
        </w:rPr>
        <w:t>Impact of a self-</w:t>
      </w:r>
    </w:p>
    <w:p w:rsidR="00EC01CF" w:rsidRDefault="00B80C81" w:rsidP="00EC01CF">
      <w:pPr>
        <w:pStyle w:val="Heading1"/>
        <w:spacing w:before="0" w:after="0" w:line="480" w:lineRule="auto"/>
        <w:ind w:left="720" w:right="475"/>
        <w:rPr>
          <w:rFonts w:ascii="Times New Roman" w:hAnsi="Times New Roman"/>
          <w:b w:val="0"/>
          <w:sz w:val="24"/>
          <w:szCs w:val="24"/>
        </w:rPr>
      </w:pPr>
      <w:proofErr w:type="gramStart"/>
      <w:r w:rsidRPr="00B80C81">
        <w:rPr>
          <w:rFonts w:ascii="Times New Roman" w:hAnsi="Times New Roman"/>
          <w:b w:val="0"/>
          <w:sz w:val="24"/>
          <w:szCs w:val="24"/>
        </w:rPr>
        <w:t>administration</w:t>
      </w:r>
      <w:proofErr w:type="gramEnd"/>
      <w:r w:rsidRPr="00B80C81">
        <w:rPr>
          <w:rFonts w:ascii="Times New Roman" w:hAnsi="Times New Roman"/>
          <w:b w:val="0"/>
          <w:sz w:val="24"/>
          <w:szCs w:val="24"/>
        </w:rPr>
        <w:t xml:space="preserve"> of medications </w:t>
      </w:r>
      <w:proofErr w:type="spellStart"/>
      <w:r w:rsidRPr="00B80C81">
        <w:rPr>
          <w:rFonts w:ascii="Times New Roman" w:hAnsi="Times New Roman"/>
          <w:b w:val="0"/>
          <w:sz w:val="24"/>
          <w:szCs w:val="24"/>
        </w:rPr>
        <w:t>programme</w:t>
      </w:r>
      <w:proofErr w:type="spellEnd"/>
      <w:r w:rsidRPr="00B80C81">
        <w:rPr>
          <w:rFonts w:ascii="Times New Roman" w:hAnsi="Times New Roman"/>
          <w:b w:val="0"/>
          <w:sz w:val="24"/>
          <w:szCs w:val="24"/>
        </w:rPr>
        <w:t xml:space="preserve"> on elderly inpatients’ competence to manage </w:t>
      </w:r>
      <w:r w:rsidR="00C0443D">
        <w:rPr>
          <w:rFonts w:ascii="Times New Roman" w:hAnsi="Times New Roman"/>
          <w:b w:val="0"/>
          <w:sz w:val="24"/>
          <w:szCs w:val="24"/>
        </w:rPr>
        <w:t>medications: A</w:t>
      </w:r>
      <w:r w:rsidRPr="00B80C81">
        <w:rPr>
          <w:rFonts w:ascii="Times New Roman" w:hAnsi="Times New Roman"/>
          <w:b w:val="0"/>
          <w:sz w:val="24"/>
          <w:szCs w:val="24"/>
        </w:rPr>
        <w:t xml:space="preserve"> pilot</w:t>
      </w:r>
      <w:r w:rsidRPr="00B80C81">
        <w:rPr>
          <w:rFonts w:ascii="Times New Roman" w:hAnsi="Times New Roman"/>
          <w:sz w:val="24"/>
          <w:szCs w:val="24"/>
        </w:rPr>
        <w:t xml:space="preserve"> </w:t>
      </w:r>
      <w:r w:rsidRPr="00B80C81">
        <w:rPr>
          <w:rFonts w:ascii="Times New Roman" w:hAnsi="Times New Roman"/>
          <w:b w:val="0"/>
          <w:sz w:val="24"/>
          <w:szCs w:val="24"/>
        </w:rPr>
        <w:t xml:space="preserve">study. </w:t>
      </w:r>
      <w:proofErr w:type="gramStart"/>
      <w:r w:rsidRPr="00B80C81">
        <w:rPr>
          <w:rFonts w:ascii="Times New Roman" w:hAnsi="Times New Roman"/>
          <w:b w:val="0"/>
          <w:i/>
          <w:sz w:val="24"/>
          <w:szCs w:val="24"/>
        </w:rPr>
        <w:t>Journal of Clinical Pharmacy and Therapeutics.</w:t>
      </w:r>
      <w:proofErr w:type="gramEnd"/>
      <w:r w:rsidRPr="00B80C81">
        <w:rPr>
          <w:rFonts w:ascii="Times New Roman" w:hAnsi="Times New Roman"/>
          <w:b w:val="0"/>
          <w:i/>
          <w:sz w:val="24"/>
          <w:szCs w:val="24"/>
        </w:rPr>
        <w:t xml:space="preserve"> </w:t>
      </w:r>
      <w:r w:rsidR="00EC01CF">
        <w:rPr>
          <w:rFonts w:ascii="Times New Roman" w:hAnsi="Times New Roman"/>
          <w:b w:val="0"/>
          <w:sz w:val="24"/>
          <w:szCs w:val="24"/>
        </w:rPr>
        <w:t>Retrieved from</w:t>
      </w:r>
    </w:p>
    <w:p w:rsidR="00B80C81" w:rsidRPr="00B80C81" w:rsidRDefault="00B80C81" w:rsidP="00EC01CF">
      <w:pPr>
        <w:pStyle w:val="Heading1"/>
        <w:spacing w:before="0" w:after="0" w:line="480" w:lineRule="auto"/>
        <w:ind w:left="720" w:right="475"/>
        <w:rPr>
          <w:rFonts w:ascii="Times New Roman" w:hAnsi="Times New Roman"/>
          <w:b w:val="0"/>
          <w:sz w:val="24"/>
          <w:szCs w:val="24"/>
        </w:rPr>
      </w:pPr>
      <w:r w:rsidRPr="00B80C81">
        <w:rPr>
          <w:rFonts w:ascii="Times New Roman" w:hAnsi="Times New Roman"/>
          <w:b w:val="0"/>
          <w:sz w:val="24"/>
          <w:szCs w:val="24"/>
        </w:rPr>
        <w:t>http://onlinelibrary.wiley.com/doi/10.1111/j.1365-2710.2009.01157.x/full</w:t>
      </w:r>
    </w:p>
    <w:p w:rsidR="00EC01CF" w:rsidRDefault="0051063D" w:rsidP="00EC01CF">
      <w:pPr>
        <w:pStyle w:val="Heading1"/>
        <w:spacing w:before="0" w:after="0" w:line="480" w:lineRule="auto"/>
        <w:ind w:right="475"/>
        <w:rPr>
          <w:rFonts w:ascii="Times New Roman" w:hAnsi="Times New Roman"/>
          <w:b w:val="0"/>
          <w:sz w:val="24"/>
          <w:szCs w:val="24"/>
        </w:rPr>
      </w:pPr>
      <w:proofErr w:type="spellStart"/>
      <w:proofErr w:type="gramStart"/>
      <w:r>
        <w:rPr>
          <w:rFonts w:ascii="Times New Roman" w:hAnsi="Times New Roman"/>
          <w:b w:val="0"/>
          <w:sz w:val="24"/>
          <w:szCs w:val="24"/>
        </w:rPr>
        <w:t>Littenberg</w:t>
      </w:r>
      <w:proofErr w:type="spellEnd"/>
      <w:r>
        <w:rPr>
          <w:rFonts w:ascii="Times New Roman" w:hAnsi="Times New Roman"/>
          <w:b w:val="0"/>
          <w:sz w:val="24"/>
          <w:szCs w:val="24"/>
        </w:rPr>
        <w:t>, B., MacL</w:t>
      </w:r>
      <w:r w:rsidR="00B80C81" w:rsidRPr="00B80C81">
        <w:rPr>
          <w:rFonts w:ascii="Times New Roman" w:hAnsi="Times New Roman"/>
          <w:b w:val="0"/>
          <w:sz w:val="24"/>
          <w:szCs w:val="24"/>
        </w:rPr>
        <w:t xml:space="preserve">ean, C., &amp; </w:t>
      </w:r>
      <w:proofErr w:type="spellStart"/>
      <w:r w:rsidR="00B80C81" w:rsidRPr="00B80C81">
        <w:rPr>
          <w:rFonts w:ascii="Times New Roman" w:hAnsi="Times New Roman"/>
          <w:b w:val="0"/>
          <w:sz w:val="24"/>
          <w:szCs w:val="24"/>
        </w:rPr>
        <w:t>Hurowitz</w:t>
      </w:r>
      <w:proofErr w:type="spellEnd"/>
      <w:r w:rsidR="00B80C81" w:rsidRPr="00B80C81">
        <w:rPr>
          <w:rFonts w:ascii="Times New Roman" w:hAnsi="Times New Roman"/>
          <w:b w:val="0"/>
          <w:sz w:val="24"/>
          <w:szCs w:val="24"/>
        </w:rPr>
        <w:t>, L. (2006, January).</w:t>
      </w:r>
      <w:proofErr w:type="gramEnd"/>
      <w:r w:rsidR="00B80C81" w:rsidRPr="00B80C81">
        <w:rPr>
          <w:rFonts w:ascii="Times New Roman" w:hAnsi="Times New Roman"/>
          <w:b w:val="0"/>
          <w:sz w:val="24"/>
          <w:szCs w:val="24"/>
        </w:rPr>
        <w:t xml:space="preserve"> The use of adherence </w:t>
      </w:r>
    </w:p>
    <w:p w:rsidR="00B80C81" w:rsidRPr="00B80C81" w:rsidRDefault="00B80C81" w:rsidP="00EC01CF">
      <w:pPr>
        <w:pStyle w:val="Heading1"/>
        <w:spacing w:before="0" w:after="0" w:line="480" w:lineRule="auto"/>
        <w:ind w:left="720" w:right="475"/>
        <w:rPr>
          <w:rFonts w:ascii="Times New Roman" w:hAnsi="Times New Roman"/>
          <w:b w:val="0"/>
          <w:sz w:val="24"/>
          <w:szCs w:val="24"/>
        </w:rPr>
      </w:pPr>
      <w:proofErr w:type="gramStart"/>
      <w:r w:rsidRPr="00B80C81">
        <w:rPr>
          <w:rFonts w:ascii="Times New Roman" w:hAnsi="Times New Roman"/>
          <w:b w:val="0"/>
          <w:sz w:val="24"/>
          <w:szCs w:val="24"/>
        </w:rPr>
        <w:t>aids</w:t>
      </w:r>
      <w:proofErr w:type="gramEnd"/>
      <w:r w:rsidRPr="00B80C81">
        <w:rPr>
          <w:rFonts w:ascii="Times New Roman" w:hAnsi="Times New Roman"/>
          <w:b w:val="0"/>
          <w:sz w:val="24"/>
          <w:szCs w:val="24"/>
        </w:rPr>
        <w:t xml:space="preserve"> by adults with diabetes: A cross-sectional survey</w:t>
      </w:r>
      <w:r w:rsidRPr="00B80C81">
        <w:rPr>
          <w:rFonts w:ascii="Times New Roman" w:hAnsi="Times New Roman"/>
          <w:b w:val="0"/>
          <w:i/>
          <w:sz w:val="24"/>
          <w:szCs w:val="24"/>
        </w:rPr>
        <w:t xml:space="preserve">. </w:t>
      </w:r>
      <w:proofErr w:type="gramStart"/>
      <w:r w:rsidRPr="00B80C81">
        <w:rPr>
          <w:rFonts w:ascii="Times New Roman" w:hAnsi="Times New Roman"/>
          <w:b w:val="0"/>
          <w:i/>
          <w:sz w:val="24"/>
          <w:szCs w:val="24"/>
        </w:rPr>
        <w:t>BMC Family Practice.</w:t>
      </w:r>
      <w:proofErr w:type="gramEnd"/>
      <w:r w:rsidRPr="00B80C81">
        <w:rPr>
          <w:rFonts w:ascii="Times New Roman" w:hAnsi="Times New Roman"/>
          <w:b w:val="0"/>
          <w:i/>
          <w:sz w:val="24"/>
          <w:szCs w:val="24"/>
        </w:rPr>
        <w:t xml:space="preserve"> </w:t>
      </w:r>
      <w:proofErr w:type="gramStart"/>
      <w:r w:rsidRPr="00B80C81">
        <w:rPr>
          <w:rFonts w:ascii="Times New Roman" w:hAnsi="Times New Roman"/>
          <w:b w:val="0"/>
          <w:sz w:val="24"/>
          <w:szCs w:val="24"/>
        </w:rPr>
        <w:t xml:space="preserve">Retrieved from </w:t>
      </w:r>
      <w:hyperlink r:id="rId6" w:history="1">
        <w:r w:rsidRPr="00B80C81">
          <w:rPr>
            <w:rStyle w:val="Hyperlink"/>
            <w:rFonts w:ascii="Times New Roman" w:hAnsi="Times New Roman"/>
            <w:b w:val="0"/>
            <w:color w:val="auto"/>
            <w:sz w:val="24"/>
            <w:szCs w:val="24"/>
          </w:rPr>
          <w:t>http://www.biomed</w:t>
        </w:r>
      </w:hyperlink>
      <w:r w:rsidRPr="00B80C81">
        <w:rPr>
          <w:rFonts w:ascii="Times New Roman" w:hAnsi="Times New Roman"/>
          <w:b w:val="0"/>
          <w:sz w:val="24"/>
          <w:szCs w:val="24"/>
        </w:rPr>
        <w:t>Central.com/1471-2296/7/1.</w:t>
      </w:r>
      <w:proofErr w:type="gramEnd"/>
    </w:p>
    <w:p w:rsidR="00EC01CF" w:rsidRPr="00A3681B" w:rsidRDefault="00A3681B" w:rsidP="00B80C81">
      <w:pPr>
        <w:pStyle w:val="Heading1"/>
        <w:spacing w:before="0" w:after="0" w:line="480" w:lineRule="auto"/>
        <w:ind w:right="475"/>
        <w:rPr>
          <w:rFonts w:ascii="Times New Roman" w:hAnsi="Times New Roman"/>
          <w:b w:val="0"/>
          <w:sz w:val="24"/>
          <w:szCs w:val="24"/>
        </w:rPr>
      </w:pPr>
      <w:proofErr w:type="spellStart"/>
      <w:proofErr w:type="gramStart"/>
      <w:r w:rsidRPr="00B80C81">
        <w:rPr>
          <w:rFonts w:ascii="Times New Roman" w:hAnsi="Times New Roman"/>
          <w:b w:val="0"/>
          <w:sz w:val="24"/>
          <w:szCs w:val="24"/>
        </w:rPr>
        <w:t>Debartolomeo</w:t>
      </w:r>
      <w:r>
        <w:rPr>
          <w:rFonts w:ascii="Times New Roman" w:hAnsi="Times New Roman"/>
          <w:b w:val="0"/>
          <w:sz w:val="24"/>
          <w:szCs w:val="24"/>
        </w:rPr>
        <w:t>-</w:t>
      </w:r>
      <w:r w:rsidR="00B80C81" w:rsidRPr="00B80C81">
        <w:rPr>
          <w:rFonts w:ascii="Times New Roman" w:hAnsi="Times New Roman"/>
          <w:b w:val="0"/>
          <w:sz w:val="24"/>
          <w:szCs w:val="24"/>
        </w:rPr>
        <w:t>Mager</w:t>
      </w:r>
      <w:proofErr w:type="spellEnd"/>
      <w:r w:rsidR="00B80C81" w:rsidRPr="00B80C81">
        <w:rPr>
          <w:rFonts w:ascii="Times New Roman" w:hAnsi="Times New Roman"/>
          <w:b w:val="0"/>
          <w:sz w:val="24"/>
          <w:szCs w:val="24"/>
        </w:rPr>
        <w:t xml:space="preserve">, D., &amp; </w:t>
      </w:r>
      <w:proofErr w:type="spellStart"/>
      <w:r w:rsidR="00B80C81" w:rsidRPr="00B80C81">
        <w:rPr>
          <w:rFonts w:ascii="Times New Roman" w:hAnsi="Times New Roman"/>
          <w:b w:val="0"/>
          <w:sz w:val="24"/>
          <w:szCs w:val="24"/>
        </w:rPr>
        <w:t>Maddigan</w:t>
      </w:r>
      <w:proofErr w:type="spellEnd"/>
      <w:r w:rsidR="00B80C81" w:rsidRPr="00B80C81">
        <w:rPr>
          <w:rFonts w:ascii="Times New Roman" w:hAnsi="Times New Roman"/>
          <w:b w:val="0"/>
          <w:sz w:val="24"/>
          <w:szCs w:val="24"/>
        </w:rPr>
        <w:t>, E. (2010, January).</w:t>
      </w:r>
      <w:proofErr w:type="gramEnd"/>
      <w:r w:rsidR="00EC01CF">
        <w:rPr>
          <w:rFonts w:ascii="Times New Roman" w:hAnsi="Times New Roman"/>
          <w:b w:val="0"/>
          <w:i/>
          <w:sz w:val="24"/>
          <w:szCs w:val="24"/>
        </w:rPr>
        <w:t xml:space="preserve"> </w:t>
      </w:r>
      <w:r w:rsidR="00EC01CF" w:rsidRPr="00A3681B">
        <w:rPr>
          <w:rFonts w:ascii="Times New Roman" w:hAnsi="Times New Roman"/>
          <w:b w:val="0"/>
          <w:sz w:val="24"/>
          <w:szCs w:val="24"/>
        </w:rPr>
        <w:t xml:space="preserve">Medication use among </w:t>
      </w:r>
    </w:p>
    <w:p w:rsidR="00B80C81" w:rsidRPr="00B80C81" w:rsidRDefault="00EC01CF" w:rsidP="00EC01CF">
      <w:pPr>
        <w:pStyle w:val="Heading1"/>
        <w:spacing w:before="0" w:after="0" w:line="480" w:lineRule="auto"/>
        <w:ind w:left="720" w:right="475"/>
        <w:rPr>
          <w:rFonts w:ascii="Times New Roman" w:hAnsi="Times New Roman"/>
          <w:b w:val="0"/>
          <w:sz w:val="24"/>
          <w:szCs w:val="24"/>
        </w:rPr>
      </w:pPr>
      <w:r w:rsidRPr="00A3681B">
        <w:rPr>
          <w:rFonts w:ascii="Times New Roman" w:hAnsi="Times New Roman"/>
          <w:b w:val="0"/>
          <w:sz w:val="24"/>
          <w:szCs w:val="24"/>
        </w:rPr>
        <w:t xml:space="preserve">Older </w:t>
      </w:r>
      <w:r w:rsidR="00B80C81" w:rsidRPr="00A3681B">
        <w:rPr>
          <w:rFonts w:ascii="Times New Roman" w:hAnsi="Times New Roman"/>
          <w:b w:val="0"/>
          <w:sz w:val="24"/>
          <w:szCs w:val="24"/>
        </w:rPr>
        <w:t>Adults in a Home Care Setting</w:t>
      </w:r>
      <w:r w:rsidR="00B80C81" w:rsidRPr="00B80C81">
        <w:rPr>
          <w:rFonts w:ascii="Times New Roman" w:hAnsi="Times New Roman"/>
          <w:b w:val="0"/>
          <w:i/>
          <w:sz w:val="24"/>
          <w:szCs w:val="24"/>
        </w:rPr>
        <w:t>.</w:t>
      </w:r>
      <w:r w:rsidR="00A3681B">
        <w:rPr>
          <w:rFonts w:ascii="Times New Roman" w:hAnsi="Times New Roman"/>
          <w:b w:val="0"/>
          <w:i/>
          <w:sz w:val="24"/>
          <w:szCs w:val="24"/>
        </w:rPr>
        <w:t xml:space="preserve"> </w:t>
      </w:r>
      <w:proofErr w:type="gramStart"/>
      <w:r w:rsidR="00A3681B">
        <w:rPr>
          <w:rFonts w:ascii="Times New Roman" w:hAnsi="Times New Roman"/>
          <w:b w:val="0"/>
          <w:i/>
          <w:sz w:val="24"/>
          <w:szCs w:val="24"/>
        </w:rPr>
        <w:t>Home Healthcare Nurse.</w:t>
      </w:r>
      <w:proofErr w:type="gramEnd"/>
      <w:r w:rsidR="00B80C81" w:rsidRPr="00B80C81">
        <w:rPr>
          <w:rFonts w:ascii="Times New Roman" w:hAnsi="Times New Roman"/>
          <w:b w:val="0"/>
          <w:sz w:val="24"/>
          <w:szCs w:val="24"/>
        </w:rPr>
        <w:t xml:space="preserve"> </w:t>
      </w:r>
      <w:proofErr w:type="gramStart"/>
      <w:r w:rsidR="00B80C81" w:rsidRPr="00B80C81">
        <w:rPr>
          <w:rFonts w:ascii="Times New Roman" w:hAnsi="Times New Roman"/>
          <w:b w:val="0"/>
          <w:sz w:val="24"/>
          <w:szCs w:val="24"/>
        </w:rPr>
        <w:t>Retrieved from</w:t>
      </w:r>
      <w:r>
        <w:rPr>
          <w:rFonts w:ascii="Times New Roman" w:hAnsi="Times New Roman"/>
          <w:b w:val="0"/>
          <w:sz w:val="24"/>
          <w:szCs w:val="24"/>
        </w:rPr>
        <w:t xml:space="preserve"> </w:t>
      </w:r>
      <w:r w:rsidR="00B80C81" w:rsidRPr="00B80C81">
        <w:rPr>
          <w:rFonts w:ascii="Times New Roman" w:hAnsi="Times New Roman"/>
          <w:b w:val="0"/>
          <w:sz w:val="24"/>
          <w:szCs w:val="24"/>
        </w:rPr>
        <w:t>http://www.nursingcenter.com/library/JournalArticle.asp?Article.</w:t>
      </w:r>
      <w:proofErr w:type="gramEnd"/>
    </w:p>
    <w:p w:rsidR="00B80C81" w:rsidRPr="00B80C81" w:rsidRDefault="00B80C81" w:rsidP="00B80C81">
      <w:pPr>
        <w:spacing w:line="480" w:lineRule="auto"/>
      </w:pPr>
      <w:proofErr w:type="gramStart"/>
      <w:r w:rsidRPr="00B80C81">
        <w:rPr>
          <w:rStyle w:val="Strong"/>
          <w:b w:val="0"/>
        </w:rPr>
        <w:t>Russell, C. L.</w:t>
      </w:r>
      <w:r w:rsidR="006119D8">
        <w:t>, Conn, V., &amp;</w:t>
      </w:r>
      <w:r w:rsidRPr="00B80C81">
        <w:t xml:space="preserve"> </w:t>
      </w:r>
      <w:proofErr w:type="spellStart"/>
      <w:r w:rsidRPr="00B80C81">
        <w:t>Jantarakupt</w:t>
      </w:r>
      <w:proofErr w:type="spellEnd"/>
      <w:r w:rsidRPr="00B80C81">
        <w:t>, P. (2006).</w:t>
      </w:r>
      <w:proofErr w:type="gramEnd"/>
      <w:r w:rsidRPr="00B80C81">
        <w:t xml:space="preserve"> Older adult medication compliance: </w:t>
      </w:r>
    </w:p>
    <w:p w:rsidR="00B80C81" w:rsidRPr="00B80C81" w:rsidRDefault="00B80C81" w:rsidP="00B80C81">
      <w:pPr>
        <w:spacing w:line="480" w:lineRule="auto"/>
        <w:ind w:firstLine="720"/>
        <w:rPr>
          <w:rStyle w:val="Emphasis"/>
        </w:rPr>
      </w:pPr>
      <w:proofErr w:type="gramStart"/>
      <w:r w:rsidRPr="00B80C81">
        <w:t>Integrated review of randomized controlled trials.</w:t>
      </w:r>
      <w:proofErr w:type="gramEnd"/>
      <w:r w:rsidRPr="00B80C81">
        <w:t xml:space="preserve"> </w:t>
      </w:r>
      <w:r w:rsidRPr="00B80C81">
        <w:rPr>
          <w:rStyle w:val="Emphasis"/>
        </w:rPr>
        <w:t xml:space="preserve">American Journal of Health </w:t>
      </w:r>
    </w:p>
    <w:p w:rsidR="00B80C81" w:rsidRPr="00B80C81" w:rsidRDefault="00B80C81" w:rsidP="00B80C81">
      <w:pPr>
        <w:spacing w:line="480" w:lineRule="auto"/>
        <w:ind w:left="720"/>
      </w:pPr>
      <w:proofErr w:type="gramStart"/>
      <w:r w:rsidRPr="00B80C81">
        <w:rPr>
          <w:rStyle w:val="Emphasis"/>
        </w:rPr>
        <w:t>Behavior.</w:t>
      </w:r>
      <w:proofErr w:type="gramEnd"/>
      <w:r w:rsidRPr="00B80C81">
        <w:rPr>
          <w:rStyle w:val="Emphasis"/>
        </w:rPr>
        <w:t xml:space="preserve"> </w:t>
      </w:r>
      <w:r w:rsidRPr="00B80C81">
        <w:rPr>
          <w:rStyle w:val="Emphasis"/>
          <w:i w:val="0"/>
        </w:rPr>
        <w:t>30(6)</w:t>
      </w:r>
      <w:r w:rsidRPr="00B80C81">
        <w:rPr>
          <w:i/>
        </w:rPr>
        <w:t xml:space="preserve">, </w:t>
      </w:r>
      <w:r w:rsidRPr="00B80C81">
        <w:t>636-650.</w:t>
      </w:r>
    </w:p>
    <w:p w:rsidR="00EC01CF" w:rsidRDefault="00B80C81" w:rsidP="00B80C81">
      <w:pPr>
        <w:spacing w:line="480" w:lineRule="auto"/>
        <w:rPr>
          <w:i/>
        </w:rPr>
      </w:pPr>
      <w:proofErr w:type="spellStart"/>
      <w:proofErr w:type="gramStart"/>
      <w:r w:rsidRPr="00B80C81">
        <w:t>Zwicker</w:t>
      </w:r>
      <w:proofErr w:type="spellEnd"/>
      <w:r w:rsidRPr="00B80C81">
        <w:t xml:space="preserve">, D., </w:t>
      </w:r>
      <w:proofErr w:type="spellStart"/>
      <w:r w:rsidRPr="00B80C81">
        <w:t>Mezey</w:t>
      </w:r>
      <w:proofErr w:type="spellEnd"/>
      <w:r w:rsidRPr="00B80C81">
        <w:t>, M., &amp; Fulmer, T. (2008).</w:t>
      </w:r>
      <w:proofErr w:type="gramEnd"/>
      <w:r w:rsidRPr="00B80C81">
        <w:t xml:space="preserve"> </w:t>
      </w:r>
      <w:r w:rsidRPr="00B80C81">
        <w:rPr>
          <w:i/>
        </w:rPr>
        <w:t xml:space="preserve">Evidence-based geriatric nursing </w:t>
      </w:r>
    </w:p>
    <w:p w:rsidR="00B80C81" w:rsidRPr="00EC01CF" w:rsidRDefault="00B80C81" w:rsidP="00EC01CF">
      <w:pPr>
        <w:spacing w:line="480" w:lineRule="auto"/>
        <w:ind w:firstLine="720"/>
        <w:rPr>
          <w:i/>
        </w:rPr>
      </w:pPr>
      <w:proofErr w:type="gramStart"/>
      <w:r w:rsidRPr="00B80C81">
        <w:rPr>
          <w:i/>
        </w:rPr>
        <w:t>protocols</w:t>
      </w:r>
      <w:proofErr w:type="gramEnd"/>
      <w:r w:rsidRPr="00B80C81">
        <w:rPr>
          <w:i/>
        </w:rPr>
        <w:t xml:space="preserve"> for best practice. </w:t>
      </w:r>
      <w:r w:rsidRPr="00B80C81">
        <w:t xml:space="preserve">Retrieved from </w:t>
      </w:r>
    </w:p>
    <w:p w:rsidR="0008634B" w:rsidRPr="00B80C81" w:rsidRDefault="00B80C81" w:rsidP="00EC01CF">
      <w:pPr>
        <w:spacing w:line="480" w:lineRule="auto"/>
        <w:ind w:left="720"/>
      </w:pPr>
      <w:r w:rsidRPr="00B80C81">
        <w:t>http://www.guideline.gov/content.aspx?id=12258&amp;search=medication+administration+tools.</w:t>
      </w:r>
    </w:p>
    <w:sectPr w:rsidR="0008634B" w:rsidRPr="00B80C81" w:rsidSect="005A6862">
      <w:headerReference w:type="even" r:id="rId7"/>
      <w:headerReference w:type="default" r:id="rId8"/>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0068" w:rsidRDefault="00DF0068">
      <w:r>
        <w:separator/>
      </w:r>
    </w:p>
  </w:endnote>
  <w:endnote w:type="continuationSeparator" w:id="0">
    <w:p w:rsidR="00DF0068" w:rsidRDefault="00DF00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Helvetica">
    <w:panose1 w:val="020B0604020202020204"/>
    <w:charset w:val="00"/>
    <w:family w:val="swiss"/>
    <w:pitch w:val="variable"/>
    <w:sig w:usb0="E0002AFF" w:usb1="C0007843" w:usb2="00000009" w:usb3="00000000" w:csb0="000001FF" w:csb1="00000000"/>
  </w:font>
  <w:font w:name="ヒラギノ角ゴ Pro W3">
    <w:charset w:val="00"/>
    <w:family w:val="roman"/>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0068" w:rsidRDefault="00DF0068">
      <w:r>
        <w:separator/>
      </w:r>
    </w:p>
  </w:footnote>
  <w:footnote w:type="continuationSeparator" w:id="0">
    <w:p w:rsidR="00DF0068" w:rsidRDefault="00DF006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E62" w:rsidRDefault="00870BBA" w:rsidP="008D1579">
    <w:pPr>
      <w:pStyle w:val="Header"/>
      <w:framePr w:wrap="around" w:vAnchor="text" w:hAnchor="margin" w:xAlign="right" w:y="1"/>
      <w:rPr>
        <w:rStyle w:val="PageNumber"/>
      </w:rPr>
    </w:pPr>
    <w:r>
      <w:rPr>
        <w:rStyle w:val="PageNumber"/>
      </w:rPr>
      <w:fldChar w:fldCharType="begin"/>
    </w:r>
    <w:r w:rsidR="00565E62">
      <w:rPr>
        <w:rStyle w:val="PageNumber"/>
      </w:rPr>
      <w:instrText xml:space="preserve">PAGE  </w:instrText>
    </w:r>
    <w:r>
      <w:rPr>
        <w:rStyle w:val="PageNumber"/>
      </w:rPr>
      <w:fldChar w:fldCharType="end"/>
    </w:r>
  </w:p>
  <w:p w:rsidR="00565E62" w:rsidRDefault="00565E62" w:rsidP="00823978">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E62" w:rsidRDefault="00870BBA" w:rsidP="008D1579">
    <w:pPr>
      <w:pStyle w:val="Header"/>
      <w:framePr w:wrap="around" w:vAnchor="text" w:hAnchor="margin" w:xAlign="right" w:y="1"/>
      <w:rPr>
        <w:rStyle w:val="PageNumber"/>
      </w:rPr>
    </w:pPr>
    <w:r>
      <w:rPr>
        <w:rStyle w:val="PageNumber"/>
      </w:rPr>
      <w:fldChar w:fldCharType="begin"/>
    </w:r>
    <w:r w:rsidR="00565E62">
      <w:rPr>
        <w:rStyle w:val="PageNumber"/>
      </w:rPr>
      <w:instrText xml:space="preserve">PAGE  </w:instrText>
    </w:r>
    <w:r>
      <w:rPr>
        <w:rStyle w:val="PageNumber"/>
      </w:rPr>
      <w:fldChar w:fldCharType="separate"/>
    </w:r>
    <w:r w:rsidR="00DC12C7">
      <w:rPr>
        <w:rStyle w:val="PageNumber"/>
        <w:noProof/>
      </w:rPr>
      <w:t>16</w:t>
    </w:r>
    <w:r>
      <w:rPr>
        <w:rStyle w:val="PageNumber"/>
      </w:rPr>
      <w:fldChar w:fldCharType="end"/>
    </w:r>
  </w:p>
  <w:p w:rsidR="00565E62" w:rsidRDefault="00565E62" w:rsidP="00823978">
    <w:pPr>
      <w:pStyle w:val="Header"/>
      <w:ind w:right="360"/>
    </w:pPr>
    <w:r>
      <w:t>Running head: MEDICATION COMPLIANCE OF THE ELDERLY POPULATION</w:t>
    </w:r>
  </w:p>
  <w:p w:rsidR="00565E62" w:rsidRDefault="00565E6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8E2879"/>
    <w:rsid w:val="00005FA9"/>
    <w:rsid w:val="000128A9"/>
    <w:rsid w:val="00021E2F"/>
    <w:rsid w:val="0002444F"/>
    <w:rsid w:val="00084B9A"/>
    <w:rsid w:val="0008634B"/>
    <w:rsid w:val="000D4FAC"/>
    <w:rsid w:val="000E3BDD"/>
    <w:rsid w:val="000E65FF"/>
    <w:rsid w:val="00116065"/>
    <w:rsid w:val="0015710E"/>
    <w:rsid w:val="00186D2D"/>
    <w:rsid w:val="001C3492"/>
    <w:rsid w:val="001E1A75"/>
    <w:rsid w:val="00206B40"/>
    <w:rsid w:val="00216E57"/>
    <w:rsid w:val="002201FC"/>
    <w:rsid w:val="002414DB"/>
    <w:rsid w:val="002726DE"/>
    <w:rsid w:val="00280658"/>
    <w:rsid w:val="00286AC0"/>
    <w:rsid w:val="00294109"/>
    <w:rsid w:val="002F16D9"/>
    <w:rsid w:val="002F65FE"/>
    <w:rsid w:val="0030170F"/>
    <w:rsid w:val="00306B00"/>
    <w:rsid w:val="003174BB"/>
    <w:rsid w:val="00323474"/>
    <w:rsid w:val="00330420"/>
    <w:rsid w:val="00335562"/>
    <w:rsid w:val="00346EEE"/>
    <w:rsid w:val="00357B0C"/>
    <w:rsid w:val="00377C3D"/>
    <w:rsid w:val="00383281"/>
    <w:rsid w:val="003A459D"/>
    <w:rsid w:val="003E50B3"/>
    <w:rsid w:val="003E5CAB"/>
    <w:rsid w:val="003F094D"/>
    <w:rsid w:val="003F49C6"/>
    <w:rsid w:val="003F4B1F"/>
    <w:rsid w:val="00434E92"/>
    <w:rsid w:val="0044760F"/>
    <w:rsid w:val="00454E1F"/>
    <w:rsid w:val="00462C9A"/>
    <w:rsid w:val="00466CF7"/>
    <w:rsid w:val="004F1232"/>
    <w:rsid w:val="0051063D"/>
    <w:rsid w:val="00512922"/>
    <w:rsid w:val="00517858"/>
    <w:rsid w:val="00524861"/>
    <w:rsid w:val="00535114"/>
    <w:rsid w:val="005446FD"/>
    <w:rsid w:val="00565E62"/>
    <w:rsid w:val="00575A82"/>
    <w:rsid w:val="00581746"/>
    <w:rsid w:val="005A232D"/>
    <w:rsid w:val="005A6862"/>
    <w:rsid w:val="00607DD0"/>
    <w:rsid w:val="006119D8"/>
    <w:rsid w:val="00666D90"/>
    <w:rsid w:val="00666DD1"/>
    <w:rsid w:val="006765A0"/>
    <w:rsid w:val="00682473"/>
    <w:rsid w:val="006B6F2B"/>
    <w:rsid w:val="006C0E08"/>
    <w:rsid w:val="006C456A"/>
    <w:rsid w:val="0072048E"/>
    <w:rsid w:val="00750A15"/>
    <w:rsid w:val="00763D84"/>
    <w:rsid w:val="007641FA"/>
    <w:rsid w:val="007721A4"/>
    <w:rsid w:val="007B3239"/>
    <w:rsid w:val="00802BF8"/>
    <w:rsid w:val="008106BA"/>
    <w:rsid w:val="00823978"/>
    <w:rsid w:val="00844C1C"/>
    <w:rsid w:val="00852431"/>
    <w:rsid w:val="00857E3F"/>
    <w:rsid w:val="00870BBA"/>
    <w:rsid w:val="00885E9C"/>
    <w:rsid w:val="00890159"/>
    <w:rsid w:val="008A1A5C"/>
    <w:rsid w:val="008A376F"/>
    <w:rsid w:val="008B0C58"/>
    <w:rsid w:val="008C057D"/>
    <w:rsid w:val="008C5CA7"/>
    <w:rsid w:val="008D1579"/>
    <w:rsid w:val="008D2C2A"/>
    <w:rsid w:val="008E2879"/>
    <w:rsid w:val="008F5B7E"/>
    <w:rsid w:val="00904061"/>
    <w:rsid w:val="00913CC5"/>
    <w:rsid w:val="00921453"/>
    <w:rsid w:val="00922C7C"/>
    <w:rsid w:val="00923572"/>
    <w:rsid w:val="00932A4A"/>
    <w:rsid w:val="00946824"/>
    <w:rsid w:val="009539FC"/>
    <w:rsid w:val="00962EE8"/>
    <w:rsid w:val="00993913"/>
    <w:rsid w:val="009A78C6"/>
    <w:rsid w:val="009B24D4"/>
    <w:rsid w:val="009B2F50"/>
    <w:rsid w:val="009C3ED5"/>
    <w:rsid w:val="009C6F51"/>
    <w:rsid w:val="009E544F"/>
    <w:rsid w:val="00A21332"/>
    <w:rsid w:val="00A35A5C"/>
    <w:rsid w:val="00A3681B"/>
    <w:rsid w:val="00A52074"/>
    <w:rsid w:val="00A521C4"/>
    <w:rsid w:val="00A81215"/>
    <w:rsid w:val="00A9610E"/>
    <w:rsid w:val="00AB3DF7"/>
    <w:rsid w:val="00AE3CD8"/>
    <w:rsid w:val="00B077F7"/>
    <w:rsid w:val="00B36B81"/>
    <w:rsid w:val="00B548EB"/>
    <w:rsid w:val="00B80C81"/>
    <w:rsid w:val="00B85DFA"/>
    <w:rsid w:val="00BB1B37"/>
    <w:rsid w:val="00BC3857"/>
    <w:rsid w:val="00BD7020"/>
    <w:rsid w:val="00BE528A"/>
    <w:rsid w:val="00BF1844"/>
    <w:rsid w:val="00BF5B69"/>
    <w:rsid w:val="00C0443D"/>
    <w:rsid w:val="00C13E32"/>
    <w:rsid w:val="00C17198"/>
    <w:rsid w:val="00C200A4"/>
    <w:rsid w:val="00C27355"/>
    <w:rsid w:val="00C44376"/>
    <w:rsid w:val="00C63C2B"/>
    <w:rsid w:val="00C75F2B"/>
    <w:rsid w:val="00C86A96"/>
    <w:rsid w:val="00CA4040"/>
    <w:rsid w:val="00CA421E"/>
    <w:rsid w:val="00CA62B4"/>
    <w:rsid w:val="00CC7EF0"/>
    <w:rsid w:val="00CE6BD9"/>
    <w:rsid w:val="00CF0C28"/>
    <w:rsid w:val="00D128D5"/>
    <w:rsid w:val="00D20E21"/>
    <w:rsid w:val="00D34CAE"/>
    <w:rsid w:val="00D533F8"/>
    <w:rsid w:val="00D54950"/>
    <w:rsid w:val="00D67AAF"/>
    <w:rsid w:val="00DC12C7"/>
    <w:rsid w:val="00DE2652"/>
    <w:rsid w:val="00DF0068"/>
    <w:rsid w:val="00E01977"/>
    <w:rsid w:val="00E02E3C"/>
    <w:rsid w:val="00E362F3"/>
    <w:rsid w:val="00E4260F"/>
    <w:rsid w:val="00E55BDF"/>
    <w:rsid w:val="00E67969"/>
    <w:rsid w:val="00E71436"/>
    <w:rsid w:val="00E95EFA"/>
    <w:rsid w:val="00E97012"/>
    <w:rsid w:val="00EC01CF"/>
    <w:rsid w:val="00EC653F"/>
    <w:rsid w:val="00ED09C0"/>
    <w:rsid w:val="00EF4B0A"/>
    <w:rsid w:val="00F04074"/>
    <w:rsid w:val="00F17595"/>
    <w:rsid w:val="00F47942"/>
    <w:rsid w:val="00F669E3"/>
    <w:rsid w:val="00F91EB1"/>
    <w:rsid w:val="00FA18D0"/>
    <w:rsid w:val="00FC3409"/>
    <w:rsid w:val="00FD15F4"/>
    <w:rsid w:val="00FD2311"/>
    <w:rsid w:val="00FD6A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6862"/>
    <w:rPr>
      <w:sz w:val="24"/>
      <w:szCs w:val="24"/>
    </w:rPr>
  </w:style>
  <w:style w:type="paragraph" w:styleId="Heading1">
    <w:name w:val="heading 1"/>
    <w:basedOn w:val="Normal"/>
    <w:next w:val="Normal"/>
    <w:link w:val="Heading1Char"/>
    <w:qFormat/>
    <w:rsid w:val="00BB1B37"/>
    <w:pPr>
      <w:keepNext/>
      <w:spacing w:before="240" w:after="60"/>
      <w:outlineLvl w:val="0"/>
    </w:pPr>
    <w:rPr>
      <w:rFonts w:ascii="Cambria" w:hAnsi="Cambria"/>
      <w:b/>
      <w:bCs/>
      <w:kern w:val="32"/>
      <w:sz w:val="32"/>
      <w:szCs w:val="32"/>
    </w:rPr>
  </w:style>
  <w:style w:type="paragraph" w:styleId="Heading3">
    <w:name w:val="heading 3"/>
    <w:basedOn w:val="Normal"/>
    <w:link w:val="Heading3Char"/>
    <w:uiPriority w:val="9"/>
    <w:qFormat/>
    <w:rsid w:val="00206B40"/>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ochead">
    <w:name w:val="tochead"/>
    <w:basedOn w:val="DefaultParagraphFont"/>
    <w:rsid w:val="008E2879"/>
  </w:style>
  <w:style w:type="paragraph" w:styleId="Header">
    <w:name w:val="header"/>
    <w:basedOn w:val="Normal"/>
    <w:rsid w:val="00823978"/>
    <w:pPr>
      <w:tabs>
        <w:tab w:val="center" w:pos="4320"/>
        <w:tab w:val="right" w:pos="8640"/>
      </w:tabs>
    </w:pPr>
  </w:style>
  <w:style w:type="paragraph" w:styleId="Footer">
    <w:name w:val="footer"/>
    <w:basedOn w:val="Normal"/>
    <w:rsid w:val="00823978"/>
    <w:pPr>
      <w:tabs>
        <w:tab w:val="center" w:pos="4320"/>
        <w:tab w:val="right" w:pos="8640"/>
      </w:tabs>
    </w:pPr>
  </w:style>
  <w:style w:type="character" w:styleId="PageNumber">
    <w:name w:val="page number"/>
    <w:basedOn w:val="DefaultParagraphFont"/>
    <w:rsid w:val="00823978"/>
  </w:style>
  <w:style w:type="paragraph" w:customStyle="1" w:styleId="citation1">
    <w:name w:val="citation1"/>
    <w:basedOn w:val="Normal"/>
    <w:rsid w:val="00823978"/>
    <w:pPr>
      <w:spacing w:line="480" w:lineRule="auto"/>
      <w:ind w:hanging="375"/>
    </w:pPr>
    <w:rPr>
      <w:sz w:val="18"/>
      <w:szCs w:val="18"/>
    </w:rPr>
  </w:style>
  <w:style w:type="character" w:styleId="Emphasis">
    <w:name w:val="Emphasis"/>
    <w:uiPriority w:val="20"/>
    <w:qFormat/>
    <w:rsid w:val="00823978"/>
    <w:rPr>
      <w:i/>
      <w:iCs/>
    </w:rPr>
  </w:style>
  <w:style w:type="character" w:styleId="Hyperlink">
    <w:name w:val="Hyperlink"/>
    <w:rsid w:val="007B3239"/>
    <w:rPr>
      <w:color w:val="0000FF"/>
      <w:u w:val="single"/>
    </w:rPr>
  </w:style>
  <w:style w:type="character" w:customStyle="1" w:styleId="fthighlight">
    <w:name w:val="ft_highlight"/>
    <w:basedOn w:val="DefaultParagraphFont"/>
    <w:rsid w:val="00750A15"/>
  </w:style>
  <w:style w:type="paragraph" w:customStyle="1" w:styleId="Body">
    <w:name w:val="Body"/>
    <w:rsid w:val="00802BF8"/>
    <w:rPr>
      <w:rFonts w:ascii="Helvetica" w:eastAsia="ヒラギノ角ゴ Pro W3" w:hAnsi="Helvetica"/>
      <w:color w:val="000000"/>
      <w:sz w:val="24"/>
    </w:rPr>
  </w:style>
  <w:style w:type="character" w:customStyle="1" w:styleId="Heading3Char">
    <w:name w:val="Heading 3 Char"/>
    <w:link w:val="Heading3"/>
    <w:uiPriority w:val="9"/>
    <w:rsid w:val="00206B40"/>
    <w:rPr>
      <w:b/>
      <w:bCs/>
      <w:sz w:val="27"/>
      <w:szCs w:val="27"/>
    </w:rPr>
  </w:style>
  <w:style w:type="character" w:customStyle="1" w:styleId="txtsearch">
    <w:name w:val="txtsearch"/>
    <w:basedOn w:val="DefaultParagraphFont"/>
    <w:rsid w:val="00EF4B0A"/>
  </w:style>
  <w:style w:type="character" w:customStyle="1" w:styleId="Heading1Char">
    <w:name w:val="Heading 1 Char"/>
    <w:link w:val="Heading1"/>
    <w:rsid w:val="00BB1B37"/>
    <w:rPr>
      <w:rFonts w:ascii="Cambria" w:eastAsia="Times New Roman" w:hAnsi="Cambria" w:cs="Times New Roman"/>
      <w:b/>
      <w:bCs/>
      <w:kern w:val="32"/>
      <w:sz w:val="32"/>
      <w:szCs w:val="32"/>
    </w:rPr>
  </w:style>
  <w:style w:type="character" w:styleId="Strong">
    <w:name w:val="Strong"/>
    <w:basedOn w:val="DefaultParagraphFont"/>
    <w:uiPriority w:val="22"/>
    <w:qFormat/>
    <w:rsid w:val="002726DE"/>
    <w:rPr>
      <w:b/>
      <w:bCs/>
    </w:rPr>
  </w:style>
</w:styles>
</file>

<file path=word/webSettings.xml><?xml version="1.0" encoding="utf-8"?>
<w:webSettings xmlns:r="http://schemas.openxmlformats.org/officeDocument/2006/relationships" xmlns:w="http://schemas.openxmlformats.org/wordprocessingml/2006/main">
  <w:divs>
    <w:div w:id="322437566">
      <w:bodyDiv w:val="1"/>
      <w:marLeft w:val="0"/>
      <w:marRight w:val="0"/>
      <w:marTop w:val="0"/>
      <w:marBottom w:val="0"/>
      <w:divBdr>
        <w:top w:val="none" w:sz="0" w:space="0" w:color="auto"/>
        <w:left w:val="none" w:sz="0" w:space="0" w:color="auto"/>
        <w:bottom w:val="none" w:sz="0" w:space="0" w:color="auto"/>
        <w:right w:val="none" w:sz="0" w:space="0" w:color="auto"/>
      </w:divBdr>
    </w:div>
    <w:div w:id="809402201">
      <w:bodyDiv w:val="1"/>
      <w:marLeft w:val="0"/>
      <w:marRight w:val="0"/>
      <w:marTop w:val="0"/>
      <w:marBottom w:val="0"/>
      <w:divBdr>
        <w:top w:val="none" w:sz="0" w:space="0" w:color="auto"/>
        <w:left w:val="none" w:sz="0" w:space="0" w:color="auto"/>
        <w:bottom w:val="none" w:sz="0" w:space="0" w:color="auto"/>
        <w:right w:val="none" w:sz="0" w:space="0" w:color="auto"/>
      </w:divBdr>
    </w:div>
    <w:div w:id="1084179072">
      <w:bodyDiv w:val="1"/>
      <w:marLeft w:val="0"/>
      <w:marRight w:val="0"/>
      <w:marTop w:val="0"/>
      <w:marBottom w:val="0"/>
      <w:divBdr>
        <w:top w:val="none" w:sz="0" w:space="0" w:color="auto"/>
        <w:left w:val="none" w:sz="0" w:space="0" w:color="auto"/>
        <w:bottom w:val="none" w:sz="0" w:space="0" w:color="auto"/>
        <w:right w:val="none" w:sz="0" w:space="0" w:color="auto"/>
      </w:divBdr>
      <w:divsChild>
        <w:div w:id="629020665">
          <w:marLeft w:val="0"/>
          <w:marRight w:val="0"/>
          <w:marTop w:val="0"/>
          <w:marBottom w:val="0"/>
          <w:divBdr>
            <w:top w:val="none" w:sz="0" w:space="0" w:color="auto"/>
            <w:left w:val="none" w:sz="0" w:space="0" w:color="auto"/>
            <w:bottom w:val="none" w:sz="0" w:space="0" w:color="auto"/>
            <w:right w:val="none" w:sz="0" w:space="0" w:color="auto"/>
          </w:divBdr>
        </w:div>
        <w:div w:id="1122844328">
          <w:marLeft w:val="0"/>
          <w:marRight w:val="0"/>
          <w:marTop w:val="0"/>
          <w:marBottom w:val="0"/>
          <w:divBdr>
            <w:top w:val="none" w:sz="0" w:space="0" w:color="auto"/>
            <w:left w:val="none" w:sz="0" w:space="0" w:color="auto"/>
            <w:bottom w:val="none" w:sz="0" w:space="0" w:color="auto"/>
            <w:right w:val="none" w:sz="0" w:space="0" w:color="auto"/>
          </w:divBdr>
        </w:div>
        <w:div w:id="1143502266">
          <w:marLeft w:val="0"/>
          <w:marRight w:val="0"/>
          <w:marTop w:val="0"/>
          <w:marBottom w:val="0"/>
          <w:divBdr>
            <w:top w:val="none" w:sz="0" w:space="0" w:color="auto"/>
            <w:left w:val="none" w:sz="0" w:space="0" w:color="auto"/>
            <w:bottom w:val="none" w:sz="0" w:space="0" w:color="auto"/>
            <w:right w:val="none" w:sz="0" w:space="0" w:color="auto"/>
          </w:divBdr>
        </w:div>
        <w:div w:id="1433356925">
          <w:marLeft w:val="0"/>
          <w:marRight w:val="0"/>
          <w:marTop w:val="0"/>
          <w:marBottom w:val="0"/>
          <w:divBdr>
            <w:top w:val="none" w:sz="0" w:space="0" w:color="auto"/>
            <w:left w:val="none" w:sz="0" w:space="0" w:color="auto"/>
            <w:bottom w:val="none" w:sz="0" w:space="0" w:color="auto"/>
            <w:right w:val="none" w:sz="0" w:space="0" w:color="auto"/>
          </w:divBdr>
        </w:div>
        <w:div w:id="2026856686">
          <w:marLeft w:val="0"/>
          <w:marRight w:val="0"/>
          <w:marTop w:val="0"/>
          <w:marBottom w:val="0"/>
          <w:divBdr>
            <w:top w:val="none" w:sz="0" w:space="0" w:color="auto"/>
            <w:left w:val="none" w:sz="0" w:space="0" w:color="auto"/>
            <w:bottom w:val="none" w:sz="0" w:space="0" w:color="auto"/>
            <w:right w:val="none" w:sz="0" w:space="0" w:color="auto"/>
          </w:divBdr>
        </w:div>
      </w:divsChild>
    </w:div>
    <w:div w:id="1349990308">
      <w:bodyDiv w:val="1"/>
      <w:marLeft w:val="0"/>
      <w:marRight w:val="0"/>
      <w:marTop w:val="0"/>
      <w:marBottom w:val="0"/>
      <w:divBdr>
        <w:top w:val="none" w:sz="0" w:space="0" w:color="auto"/>
        <w:left w:val="none" w:sz="0" w:space="0" w:color="auto"/>
        <w:bottom w:val="none" w:sz="0" w:space="0" w:color="auto"/>
        <w:right w:val="none" w:sz="0" w:space="0" w:color="auto"/>
      </w:divBdr>
      <w:divsChild>
        <w:div w:id="1457258501">
          <w:marLeft w:val="0"/>
          <w:marRight w:val="0"/>
          <w:marTop w:val="0"/>
          <w:marBottom w:val="375"/>
          <w:divBdr>
            <w:top w:val="none" w:sz="0" w:space="0" w:color="auto"/>
            <w:left w:val="none" w:sz="0" w:space="0" w:color="auto"/>
            <w:bottom w:val="none" w:sz="0" w:space="0" w:color="auto"/>
            <w:right w:val="none" w:sz="0" w:space="0" w:color="auto"/>
          </w:divBdr>
          <w:divsChild>
            <w:div w:id="629676089">
              <w:marLeft w:val="4500"/>
              <w:marRight w:val="750"/>
              <w:marTop w:val="0"/>
              <w:marBottom w:val="0"/>
              <w:divBdr>
                <w:top w:val="none" w:sz="0" w:space="0" w:color="auto"/>
                <w:left w:val="none" w:sz="0" w:space="0" w:color="auto"/>
                <w:bottom w:val="none" w:sz="0" w:space="0" w:color="auto"/>
                <w:right w:val="none" w:sz="0" w:space="0" w:color="auto"/>
              </w:divBdr>
              <w:divsChild>
                <w:div w:id="1997369907">
                  <w:marLeft w:val="75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iomed"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4444</Words>
  <Characters>24665</Characters>
  <Application>Microsoft Office Word</Application>
  <DocSecurity>0</DocSecurity>
  <Lines>205</Lines>
  <Paragraphs>58</Paragraphs>
  <ScaleCrop>false</ScaleCrop>
  <HeadingPairs>
    <vt:vector size="2" baseType="variant">
      <vt:variant>
        <vt:lpstr>Title</vt:lpstr>
      </vt:variant>
      <vt:variant>
        <vt:i4>1</vt:i4>
      </vt:variant>
    </vt:vector>
  </HeadingPairs>
  <TitlesOfParts>
    <vt:vector size="1" baseType="lpstr">
      <vt:lpstr>Medication Compliance for the Older Adult</vt:lpstr>
    </vt:vector>
  </TitlesOfParts>
  <Company>Microsoft</Company>
  <LinksUpToDate>false</LinksUpToDate>
  <CharactersWithSpaces>29051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Medication Compliance for the Older Adult</dc:title>
  <dc:creator>Del Negro</dc:creator>
  <cp:lastModifiedBy>donna</cp:lastModifiedBy>
  <cp:revision>3</cp:revision>
  <dcterms:created xsi:type="dcterms:W3CDTF">2011-10-25T03:01:00Z</dcterms:created>
  <dcterms:modified xsi:type="dcterms:W3CDTF">2012-02-22T00:36:00Z</dcterms:modified>
</cp:coreProperties>
</file>