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D1" w:rsidRDefault="001E52D1">
      <w:bookmarkStart w:id="0" w:name="_GoBack"/>
      <w:bookmarkEnd w:id="0"/>
    </w:p>
    <w:p w:rsidR="00094D0C" w:rsidRDefault="00094D0C" w:rsidP="00094D0C">
      <w:pPr>
        <w:rPr>
          <w:b/>
          <w:sz w:val="32"/>
        </w:rPr>
      </w:pPr>
      <w:r w:rsidRPr="00094D0C">
        <w:rPr>
          <w:b/>
          <w:sz w:val="32"/>
        </w:rPr>
        <w:t>Summer 2014 Research project</w:t>
      </w:r>
    </w:p>
    <w:p w:rsidR="00094D0C" w:rsidRPr="00094D0C" w:rsidRDefault="00094D0C" w:rsidP="00094D0C">
      <w:pPr>
        <w:rPr>
          <w:b/>
          <w:sz w:val="32"/>
        </w:rPr>
      </w:pPr>
    </w:p>
    <w:p w:rsidR="001E52D1" w:rsidRPr="00094D0C" w:rsidRDefault="001E52D1" w:rsidP="00094D0C">
      <w:pPr>
        <w:rPr>
          <w:b/>
          <w:sz w:val="32"/>
        </w:rPr>
      </w:pPr>
      <w:r w:rsidRPr="00094D0C">
        <w:rPr>
          <w:b/>
          <w:sz w:val="32"/>
        </w:rPr>
        <w:t xml:space="preserve">Using the </w:t>
      </w:r>
      <w:proofErr w:type="spellStart"/>
      <w:r w:rsidRPr="00094D0C">
        <w:rPr>
          <w:b/>
          <w:sz w:val="32"/>
        </w:rPr>
        <w:t>Glo</w:t>
      </w:r>
      <w:proofErr w:type="spellEnd"/>
      <w:r w:rsidRPr="00094D0C">
        <w:rPr>
          <w:b/>
          <w:sz w:val="32"/>
        </w:rPr>
        <w:t>-Max 96 well plate reader</w:t>
      </w:r>
    </w:p>
    <w:p w:rsidR="00094D0C" w:rsidRPr="00094D0C" w:rsidRDefault="00094D0C" w:rsidP="00094D0C">
      <w:pPr>
        <w:rPr>
          <w:b/>
          <w:sz w:val="32"/>
        </w:rPr>
      </w:pPr>
      <w:r>
        <w:rPr>
          <w:b/>
          <w:sz w:val="32"/>
        </w:rPr>
        <w:t xml:space="preserve">Maria Lane and </w:t>
      </w:r>
      <w:r w:rsidRPr="00094D0C">
        <w:rPr>
          <w:b/>
          <w:sz w:val="32"/>
        </w:rPr>
        <w:t>Nancy Krucher</w:t>
      </w:r>
    </w:p>
    <w:p w:rsidR="00094D0C" w:rsidRDefault="00094D0C"/>
    <w:p w:rsidR="001E52D1" w:rsidRDefault="001E52D1"/>
    <w:p w:rsidR="001E52D1" w:rsidRDefault="001E52D1">
      <w:r>
        <w:tab/>
        <w:t>The purpose of this project was two-fold.  First, being new to research on cancer cells, I had to learn cell culture techniques.  In the Krucher laboratory, several breast cancer (BC) cells are studied.  They have to be grown in culture, and maintained under strict aseptic conditions.  They each require a different media and growing conditions.  Dr</w:t>
      </w:r>
      <w:r w:rsidR="006B4CB7">
        <w:t>.</w:t>
      </w:r>
      <w:r>
        <w:t xml:space="preserve"> Krucher started my training using MCF7 breast cancer cells.  They were originally obtained from a BC patient who had early-stage disease.  Dr</w:t>
      </w:r>
      <w:r w:rsidR="006B4CB7">
        <w:t>.</w:t>
      </w:r>
      <w:r>
        <w:t xml:space="preserve"> Krucher has used these </w:t>
      </w:r>
      <w:r w:rsidR="006B4CB7">
        <w:t xml:space="preserve">cells </w:t>
      </w:r>
      <w:r>
        <w:t xml:space="preserve">for many years studying the proliferation and cell death (apoptosis) in these cells.  Once I could maintain the cells, I learned how to count the cells and seed them in special 96 well dishes we required for the experiments.  Counting cells require they be carefully mixed and spread on a </w:t>
      </w:r>
      <w:proofErr w:type="spellStart"/>
      <w:r>
        <w:t>hemocytometer</w:t>
      </w:r>
      <w:proofErr w:type="spellEnd"/>
      <w:r>
        <w:t xml:space="preserve"> slide and careful counting.  Eventually, I expanded my cell culture knowledge to the use of Hs578T BC cells, which are metastatic and grow more quickly than the MCF7 cells.</w:t>
      </w:r>
    </w:p>
    <w:p w:rsidR="001E52D1" w:rsidRDefault="001E52D1">
      <w:r>
        <w:tab/>
        <w:t xml:space="preserve">The second goal of my research project this summer was to troubleshoot the use of the new </w:t>
      </w:r>
      <w:proofErr w:type="spellStart"/>
      <w:r>
        <w:t>Promega</w:t>
      </w:r>
      <w:proofErr w:type="spellEnd"/>
      <w:r>
        <w:t xml:space="preserve"> </w:t>
      </w:r>
      <w:proofErr w:type="spellStart"/>
      <w:r>
        <w:t>Glo</w:t>
      </w:r>
      <w:proofErr w:type="spellEnd"/>
      <w:r>
        <w:t>-Max fluorescent/biolumin</w:t>
      </w:r>
      <w:r w:rsidR="006B4CB7">
        <w:t>escent 96 well plate reader.  It</w:t>
      </w:r>
      <w:r>
        <w:t xml:space="preserve"> arrived in our laboratory in May, and the details of its use needed to be worked out.  So I was given the project of determining the optimal assay and assay conditions for the BC cell lines to determine cell death (apoptosis) in the cells.  This project has several parameters, and each had to be worked out.  </w:t>
      </w:r>
      <w:r w:rsidR="000E73AD">
        <w:t>I had to determine the exact number of cells needed at seeding to have an appropriate number for drug dosing 24 hours later.  We tried 6000, 8000, 10,000 and 12,000 cells per we</w:t>
      </w:r>
      <w:r w:rsidR="006B4CB7">
        <w:t>l</w:t>
      </w:r>
      <w:r w:rsidR="000E73AD">
        <w:t xml:space="preserve">l.  </w:t>
      </w:r>
      <w:r>
        <w:t xml:space="preserve">To induce cell death in the cells, we used several drugs that are known to cause apoptosis by acting as inhibitors of important growth regulating kinases (see figure legend below).  In some experiments we utilized a </w:t>
      </w:r>
      <w:r w:rsidR="000E73AD">
        <w:t>RNA interference method (</w:t>
      </w:r>
      <w:proofErr w:type="spellStart"/>
      <w:r w:rsidR="000E73AD">
        <w:t>RNAi</w:t>
      </w:r>
      <w:proofErr w:type="spellEnd"/>
      <w:r w:rsidR="000E73AD">
        <w:t xml:space="preserve">) to induce cell death (1).  </w:t>
      </w:r>
      <w:r>
        <w:t xml:space="preserve">First we tried an assay called the </w:t>
      </w:r>
      <w:proofErr w:type="spellStart"/>
      <w:r>
        <w:t>CellTox</w:t>
      </w:r>
      <w:proofErr w:type="spellEnd"/>
      <w:r>
        <w:t xml:space="preserve"> Green Cytotoxicity assay which measures cell death at several intervals for ex: </w:t>
      </w:r>
      <w:r w:rsidR="006B4CB7">
        <w:t xml:space="preserve">at </w:t>
      </w:r>
      <w:r>
        <w:t>24, 48 and 72 hours by fluorescence.  Unfortunately, the results from this assay</w:t>
      </w:r>
      <w:r w:rsidR="000E73AD">
        <w:t xml:space="preserve"> were inconsistent with inductio</w:t>
      </w:r>
      <w:r>
        <w:t xml:space="preserve">n of cell death, and so we tried a bioluminescence assay called </w:t>
      </w:r>
      <w:proofErr w:type="spellStart"/>
      <w:r>
        <w:t>CellTiter-Glo</w:t>
      </w:r>
      <w:proofErr w:type="spellEnd"/>
      <w:r>
        <w:t xml:space="preserve"> 2.0 assay.  This </w:t>
      </w:r>
      <w:r w:rsidR="000E73AD">
        <w:t xml:space="preserve">assay consistently gave a true reading of what we believed were the expected results.  In Figure 1 we show representative results using the </w:t>
      </w:r>
      <w:proofErr w:type="spellStart"/>
      <w:r w:rsidR="000E73AD">
        <w:t>CellTiter-Glo</w:t>
      </w:r>
      <w:proofErr w:type="spellEnd"/>
      <w:r w:rsidR="000E73AD">
        <w:t xml:space="preserve"> assay.  In both cell types, </w:t>
      </w:r>
      <w:proofErr w:type="spellStart"/>
      <w:r w:rsidR="000E73AD">
        <w:t>Staurosporine</w:t>
      </w:r>
      <w:proofErr w:type="spellEnd"/>
      <w:r w:rsidR="000E73AD">
        <w:t xml:space="preserve"> reduced cell number by the greatest amount.   Also in both cell types, LY had little effect a</w:t>
      </w:r>
      <w:r w:rsidR="00671AB4">
        <w:t>t</w:t>
      </w:r>
      <w:r w:rsidR="000E73AD">
        <w:t xml:space="preserve"> the concentrations used.  Differences between the cell types are interesting i</w:t>
      </w:r>
      <w:r w:rsidR="00671AB4">
        <w:t>n that AKT inhibition does not a</w:t>
      </w:r>
      <w:r w:rsidR="000E73AD">
        <w:t xml:space="preserve">ffect Hs578T cells whereas it does </w:t>
      </w:r>
      <w:r w:rsidR="00094D0C">
        <w:t xml:space="preserve">by 30% </w:t>
      </w:r>
      <w:r w:rsidR="000E73AD">
        <w:t xml:space="preserve">in </w:t>
      </w:r>
      <w:r w:rsidR="00094D0C">
        <w:t>MCF7 cells.  This difference may</w:t>
      </w:r>
      <w:r w:rsidR="006B4CB7">
        <w:t xml:space="preserve"> </w:t>
      </w:r>
      <w:r w:rsidR="00094D0C">
        <w:t xml:space="preserve">be due to the stage of BC each of these cell types are taken from: MCF7 (early) and Hs578T (metastatic).  Overall, these results indicate this assay on this plate reader will be useful for future studies quantifying cell death.  </w:t>
      </w:r>
      <w:r w:rsidR="006B4CB7">
        <w:t xml:space="preserve">Dr. Krucher hopes to use this </w:t>
      </w:r>
      <w:r w:rsidR="006B4CB7">
        <w:lastRenderedPageBreak/>
        <w:t xml:space="preserve">assay further to determine cell death in BC cells growing in 3D tumor models.  Also, I gained valuable training in cell culture, experimental design and analysis and a view into what working in a research laboratory would be like.  </w:t>
      </w:r>
      <w:r w:rsidR="00094D0C">
        <w:t>I hope to continue working in the research lab with Dr</w:t>
      </w:r>
      <w:r w:rsidR="00671AB4">
        <w:t>.</w:t>
      </w:r>
      <w:r w:rsidR="00094D0C">
        <w:t xml:space="preserve"> Krucher through the Provost’s research program </w:t>
      </w:r>
      <w:r w:rsidR="006B4CB7">
        <w:t xml:space="preserve">during the 2014-2015 academic year (if awarded!) </w:t>
      </w:r>
      <w:r w:rsidR="00094D0C">
        <w:t>or if not, as a Bio 48</w:t>
      </w:r>
      <w:r w:rsidR="006B4CB7">
        <w:t>0 Research in Biology student in Spring 2015.  Thank you.</w:t>
      </w:r>
    </w:p>
    <w:p w:rsidR="000E73AD" w:rsidRDefault="000E73AD"/>
    <w:p w:rsidR="000E73AD" w:rsidRDefault="000E73AD"/>
    <w:p w:rsidR="001F61F7" w:rsidRDefault="001F61F7"/>
    <w:p w:rsidR="001F61F7" w:rsidRDefault="001F61F7"/>
    <w:p w:rsidR="001F61F7" w:rsidRDefault="001F61F7">
      <w:r>
        <w:rPr>
          <w:noProof/>
        </w:rPr>
        <mc:AlternateContent>
          <mc:Choice Requires="wps">
            <w:drawing>
              <wp:anchor distT="0" distB="0" distL="114300" distR="114300" simplePos="0" relativeHeight="251660288" behindDoc="0" locked="0" layoutInCell="1" allowOverlap="1" wp14:anchorId="110D97FD" wp14:editId="518C8D97">
                <wp:simplePos x="0" y="0"/>
                <wp:positionH relativeFrom="column">
                  <wp:posOffset>571500</wp:posOffset>
                </wp:positionH>
                <wp:positionV relativeFrom="paragraph">
                  <wp:posOffset>41910</wp:posOffset>
                </wp:positionV>
                <wp:extent cx="49149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F61F7" w:rsidRDefault="001F61F7">
                            <w:r>
                              <w:t>Figure 1: Effect of Apoptosis-inducing drugs on Cell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45pt;margin-top:3.3pt;width:38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" filled="f" stroked="f">
                <v:textbox>
                  <w:txbxContent>
                    <w:p w:rsidR="001F61F7" w:rsidRDefault="001F61F7">
                      <w:r>
                        <w:t>Figure 1: Effect of Apoptosis-inducing drugs on Cell Number</w:t>
                      </w:r>
                    </w:p>
                  </w:txbxContent>
                </v:textbox>
                <w10:wrap type="square"/>
              </v:shape>
            </w:pict>
          </mc:Fallback>
        </mc:AlternateContent>
      </w:r>
    </w:p>
    <w:p w:rsidR="001F61F7" w:rsidRDefault="001F61F7"/>
    <w:p w:rsidR="000E73AD" w:rsidRDefault="000E73AD"/>
    <w:p w:rsidR="00671AB4" w:rsidRDefault="001F61F7">
      <w:r w:rsidRPr="001F61F7">
        <w:rPr>
          <w:noProof/>
        </w:rPr>
        <w:drawing>
          <wp:inline distT="0" distB="0" distL="0" distR="0" wp14:anchorId="5D099278" wp14:editId="5344E62D">
            <wp:extent cx="5486400" cy="20847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71AB4" w:rsidRDefault="001F61F7">
      <w:r>
        <w:rPr>
          <w:noProof/>
        </w:rPr>
        <mc:AlternateContent>
          <mc:Choice Requires="wps">
            <w:drawing>
              <wp:anchor distT="0" distB="0" distL="114300" distR="114300" simplePos="0" relativeHeight="251659264" behindDoc="0" locked="0" layoutInCell="1" allowOverlap="1" wp14:anchorId="292EA54E" wp14:editId="7D887A46">
                <wp:simplePos x="0" y="0"/>
                <wp:positionH relativeFrom="column">
                  <wp:posOffset>457200</wp:posOffset>
                </wp:positionH>
                <wp:positionV relativeFrom="paragraph">
                  <wp:posOffset>26035</wp:posOffset>
                </wp:positionV>
                <wp:extent cx="4914900" cy="36639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14900" cy="366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F61F7" w:rsidRPr="001F61F7" w:rsidRDefault="001F61F7">
                            <w:pPr>
                              <w:rPr>
                                <w:sz w:val="18"/>
                              </w:rPr>
                            </w:pPr>
                            <w:r>
                              <w:rPr>
                                <w:sz w:val="18"/>
                              </w:rPr>
                              <w:t xml:space="preserve">             </w:t>
                            </w:r>
                            <w:r w:rsidRPr="001F61F7">
                              <w:rPr>
                                <w:sz w:val="18"/>
                              </w:rPr>
                              <w:t>CT</w:t>
                            </w:r>
                            <w:r>
                              <w:rPr>
                                <w:sz w:val="18"/>
                              </w:rPr>
                              <w:t xml:space="preserve">      LY     </w:t>
                            </w:r>
                            <w:proofErr w:type="gramStart"/>
                            <w:r>
                              <w:rPr>
                                <w:sz w:val="18"/>
                              </w:rPr>
                              <w:t>AKT  ATM</w:t>
                            </w:r>
                            <w:proofErr w:type="gramEnd"/>
                            <w:r>
                              <w:rPr>
                                <w:sz w:val="18"/>
                              </w:rPr>
                              <w:t xml:space="preserve">  S(low) S (high)                            CT       LY     AKT  ATM  S (low) S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2" o:spid="_x0000_s1027" type="#_x0000_t202" style="position:absolute;margin-left:36pt;margin-top:2.05pt;width:387pt;height:2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8kvdECAAAV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" filled="f" stroked="f">
                <v:textbox>
                  <w:txbxContent>
                    <w:p w:rsidR="001F61F7" w:rsidRPr="001F61F7" w:rsidRDefault="001F61F7">
                      <w:pPr>
                        <w:rPr>
                          <w:sz w:val="18"/>
                        </w:rPr>
                      </w:pPr>
                      <w:r>
                        <w:rPr>
                          <w:sz w:val="18"/>
                        </w:rPr>
                        <w:t xml:space="preserve">             </w:t>
                      </w:r>
                      <w:r w:rsidRPr="001F61F7">
                        <w:rPr>
                          <w:sz w:val="18"/>
                        </w:rPr>
                        <w:t>CT</w:t>
                      </w:r>
                      <w:r>
                        <w:rPr>
                          <w:sz w:val="18"/>
                        </w:rPr>
                        <w:t xml:space="preserve">      LY     </w:t>
                      </w:r>
                      <w:proofErr w:type="gramStart"/>
                      <w:r>
                        <w:rPr>
                          <w:sz w:val="18"/>
                        </w:rPr>
                        <w:t>AKT  ATM</w:t>
                      </w:r>
                      <w:proofErr w:type="gramEnd"/>
                      <w:r>
                        <w:rPr>
                          <w:sz w:val="18"/>
                        </w:rPr>
                        <w:t xml:space="preserve">  S(low) S (high)                            CT       LY     AKT  ATM  S (low) S (high)</w:t>
                      </w:r>
                    </w:p>
                  </w:txbxContent>
                </v:textbox>
                <w10:wrap type="square"/>
              </v:shape>
            </w:pict>
          </mc:Fallback>
        </mc:AlternateContent>
      </w:r>
    </w:p>
    <w:p w:rsidR="00671AB4" w:rsidRDefault="00671AB4"/>
    <w:p w:rsidR="00671AB4" w:rsidRDefault="00671AB4"/>
    <w:p w:rsidR="00671AB4" w:rsidRDefault="00671AB4"/>
    <w:p w:rsidR="000E73AD" w:rsidRDefault="000E73AD">
      <w:r>
        <w:t>Figure legend:</w:t>
      </w:r>
    </w:p>
    <w:p w:rsidR="000E73AD" w:rsidRDefault="000E73AD">
      <w:r>
        <w:t>Cells (MCF7 or Hs578T) were plated at 12,000 cells per well and 24 hours later drugs (1mM) were administered.  CT: control</w:t>
      </w:r>
      <w:proofErr w:type="gramStart"/>
      <w:r>
        <w:t>,  LY</w:t>
      </w:r>
      <w:proofErr w:type="gramEnd"/>
      <w:r>
        <w:t xml:space="preserve">: LY inhibitor, AKT: AKT inhibitor, ATM: ATM inhibitor, </w:t>
      </w:r>
      <w:proofErr w:type="spellStart"/>
      <w:r>
        <w:t>S low</w:t>
      </w:r>
      <w:proofErr w:type="spellEnd"/>
      <w:r>
        <w:t xml:space="preserve">:Staurosporine (.25mM); S </w:t>
      </w:r>
      <w:proofErr w:type="spellStart"/>
      <w:r>
        <w:t>high:Staurosporine</w:t>
      </w:r>
      <w:proofErr w:type="spellEnd"/>
      <w:r>
        <w:t xml:space="preserve"> (.5mM).  Cell number is shown on the vertical axis.  Error bars represent the standard deviation of the mean of triplicate samples.</w:t>
      </w:r>
    </w:p>
    <w:p w:rsidR="00671AB4" w:rsidRDefault="00671AB4"/>
    <w:p w:rsidR="00671AB4" w:rsidRDefault="00671AB4"/>
    <w:p w:rsidR="00671AB4" w:rsidRDefault="001F61F7">
      <w:r>
        <w:t>Reference:</w:t>
      </w:r>
    </w:p>
    <w:p w:rsidR="00671AB4" w:rsidRPr="00671AB4" w:rsidRDefault="00671AB4" w:rsidP="00671AB4">
      <w:pPr>
        <w:rPr>
          <w:rFonts w:cs="Arial"/>
        </w:rPr>
      </w:pPr>
      <w:r w:rsidRPr="00671AB4">
        <w:rPr>
          <w:rFonts w:cs="Arial"/>
        </w:rPr>
        <w:t xml:space="preserve">(1) De Leon, G., Sherry, T and Krucher, NA, Reduced expression of PNUTS leads to activation of </w:t>
      </w:r>
      <w:proofErr w:type="spellStart"/>
      <w:r w:rsidRPr="00671AB4">
        <w:rPr>
          <w:rFonts w:cs="Arial"/>
        </w:rPr>
        <w:t>Rb</w:t>
      </w:r>
      <w:proofErr w:type="spellEnd"/>
      <w:r w:rsidRPr="00671AB4">
        <w:rPr>
          <w:rFonts w:cs="Arial"/>
        </w:rPr>
        <w:t xml:space="preserve">-Phosphatase and </w:t>
      </w:r>
      <w:proofErr w:type="spellStart"/>
      <w:r w:rsidRPr="00671AB4">
        <w:rPr>
          <w:rFonts w:cs="Arial"/>
        </w:rPr>
        <w:t>Caspase</w:t>
      </w:r>
      <w:proofErr w:type="spellEnd"/>
      <w:r w:rsidRPr="00671AB4">
        <w:rPr>
          <w:rFonts w:cs="Arial"/>
        </w:rPr>
        <w:t xml:space="preserve">-Mediated Apoptosis, </w:t>
      </w:r>
      <w:r w:rsidRPr="00671AB4">
        <w:rPr>
          <w:rFonts w:cs="Arial"/>
          <w:i/>
        </w:rPr>
        <w:t>Cancer Biology and Therapy</w:t>
      </w:r>
      <w:r w:rsidRPr="00671AB4">
        <w:rPr>
          <w:rFonts w:cs="Arial"/>
        </w:rPr>
        <w:t xml:space="preserve"> 7:833-841  (2008).</w:t>
      </w:r>
    </w:p>
    <w:p w:rsidR="00671AB4" w:rsidRPr="00671AB4" w:rsidRDefault="00671AB4"/>
    <w:sectPr w:rsidR="00671AB4" w:rsidRPr="00671AB4" w:rsidSect="008408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D1"/>
    <w:rsid w:val="00094D0C"/>
    <w:rsid w:val="000E73AD"/>
    <w:rsid w:val="001E52D1"/>
    <w:rsid w:val="001F61F7"/>
    <w:rsid w:val="00671AB4"/>
    <w:rsid w:val="006B4CB7"/>
    <w:rsid w:val="00840833"/>
    <w:rsid w:val="00A01E96"/>
    <w:rsid w:val="00CD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1F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1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nkrucher:Desktop:7-24-14_CellTiter-Glo_7-24-2014_8-17-09%20AM.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6812299504229"/>
          <c:y val="4.1958454553521998E-2"/>
          <c:w val="0.77200158836058796"/>
          <c:h val="0.91296082659177202"/>
        </c:manualLayout>
      </c:layout>
      <c:barChart>
        <c:barDir val="col"/>
        <c:grouping val="clustered"/>
        <c:varyColors val="0"/>
        <c:ser>
          <c:idx val="0"/>
          <c:order val="0"/>
          <c:spPr>
            <a:solidFill>
              <a:schemeClr val="bg1">
                <a:lumMod val="50000"/>
              </a:schemeClr>
            </a:solidFill>
          </c:spPr>
          <c:invertIfNegative val="0"/>
          <c:errBars>
            <c:errBarType val="both"/>
            <c:errValType val="cust"/>
            <c:noEndCap val="0"/>
            <c:plus>
              <c:numRef>
                <c:f>'7-24-14_CellTiter-Glo_7-24-2014'!$G$31:$G$45</c:f>
                <c:numCache>
                  <c:formatCode>General</c:formatCode>
                  <c:ptCount val="15"/>
                  <c:pt idx="0">
                    <c:v>106739.79826350309</c:v>
                  </c:pt>
                  <c:pt idx="1">
                    <c:v>770259.16904636717</c:v>
                  </c:pt>
                  <c:pt idx="2">
                    <c:v>207407.52083760119</c:v>
                  </c:pt>
                  <c:pt idx="3">
                    <c:v>277253.57569079788</c:v>
                  </c:pt>
                  <c:pt idx="4">
                    <c:v>121884.7026756573</c:v>
                  </c:pt>
                  <c:pt idx="5">
                    <c:v>22891.47722042711</c:v>
                  </c:pt>
                  <c:pt idx="9">
                    <c:v>92558.193766588505</c:v>
                  </c:pt>
                  <c:pt idx="10">
                    <c:v>64040.846600691759</c:v>
                  </c:pt>
                  <c:pt idx="11">
                    <c:v>160772.6725327826</c:v>
                  </c:pt>
                  <c:pt idx="12">
                    <c:v>172954.18391392939</c:v>
                  </c:pt>
                  <c:pt idx="13">
                    <c:v>25697.77454047983</c:v>
                  </c:pt>
                  <c:pt idx="14">
                    <c:v>54737.670377294497</c:v>
                  </c:pt>
                </c:numCache>
              </c:numRef>
            </c:plus>
            <c:minus>
              <c:numRef>
                <c:f>'7-24-14_CellTiter-Glo_7-24-2014'!$G$31:$G$45</c:f>
                <c:numCache>
                  <c:formatCode>General</c:formatCode>
                  <c:ptCount val="15"/>
                  <c:pt idx="0">
                    <c:v>106739.79826350309</c:v>
                  </c:pt>
                  <c:pt idx="1">
                    <c:v>770259.16904636717</c:v>
                  </c:pt>
                  <c:pt idx="2">
                    <c:v>207407.52083760119</c:v>
                  </c:pt>
                  <c:pt idx="3">
                    <c:v>277253.57569079788</c:v>
                  </c:pt>
                  <c:pt idx="4">
                    <c:v>121884.7026756573</c:v>
                  </c:pt>
                  <c:pt idx="5">
                    <c:v>22891.47722042711</c:v>
                  </c:pt>
                  <c:pt idx="9">
                    <c:v>92558.193766588505</c:v>
                  </c:pt>
                  <c:pt idx="10">
                    <c:v>64040.846600691759</c:v>
                  </c:pt>
                  <c:pt idx="11">
                    <c:v>160772.6725327826</c:v>
                  </c:pt>
                  <c:pt idx="12">
                    <c:v>172954.18391392939</c:v>
                  </c:pt>
                  <c:pt idx="13">
                    <c:v>25697.77454047983</c:v>
                  </c:pt>
                  <c:pt idx="14">
                    <c:v>54737.670377294497</c:v>
                  </c:pt>
                </c:numCache>
              </c:numRef>
            </c:minus>
          </c:errBars>
          <c:val>
            <c:numRef>
              <c:f>'7-24-14_CellTiter-Glo_7-24-2014'!$F$31:$F$45</c:f>
              <c:numCache>
                <c:formatCode>General</c:formatCode>
                <c:ptCount val="15"/>
                <c:pt idx="0">
                  <c:v>3110856.6666666698</c:v>
                </c:pt>
                <c:pt idx="1">
                  <c:v>2963950</c:v>
                </c:pt>
                <c:pt idx="2">
                  <c:v>2154750</c:v>
                </c:pt>
                <c:pt idx="3">
                  <c:v>1793083.33333333</c:v>
                </c:pt>
                <c:pt idx="4">
                  <c:v>722311.33333333337</c:v>
                </c:pt>
                <c:pt idx="5">
                  <c:v>678449.66666666698</c:v>
                </c:pt>
                <c:pt idx="9">
                  <c:v>4288476.6666666698</c:v>
                </c:pt>
                <c:pt idx="10">
                  <c:v>3734556.6666666698</c:v>
                </c:pt>
                <c:pt idx="11">
                  <c:v>4077086.6666666698</c:v>
                </c:pt>
                <c:pt idx="12">
                  <c:v>2211546.6666666698</c:v>
                </c:pt>
                <c:pt idx="13">
                  <c:v>682957.33333333337</c:v>
                </c:pt>
                <c:pt idx="14">
                  <c:v>419971.33333333331</c:v>
                </c:pt>
              </c:numCache>
            </c:numRef>
          </c:val>
        </c:ser>
        <c:dLbls>
          <c:showLegendKey val="0"/>
          <c:showVal val="0"/>
          <c:showCatName val="0"/>
          <c:showSerName val="0"/>
          <c:showPercent val="0"/>
          <c:showBubbleSize val="0"/>
        </c:dLbls>
        <c:gapWidth val="75"/>
        <c:axId val="82780160"/>
        <c:axId val="82781696"/>
      </c:barChart>
      <c:catAx>
        <c:axId val="82780160"/>
        <c:scaling>
          <c:orientation val="minMax"/>
        </c:scaling>
        <c:delete val="1"/>
        <c:axPos val="b"/>
        <c:majorTickMark val="out"/>
        <c:minorTickMark val="none"/>
        <c:tickLblPos val="nextTo"/>
        <c:crossAx val="82781696"/>
        <c:crosses val="autoZero"/>
        <c:auto val="1"/>
        <c:lblAlgn val="ctr"/>
        <c:lblOffset val="100"/>
        <c:noMultiLvlLbl val="0"/>
      </c:catAx>
      <c:valAx>
        <c:axId val="82781696"/>
        <c:scaling>
          <c:orientation val="minMax"/>
        </c:scaling>
        <c:delete val="0"/>
        <c:axPos val="l"/>
        <c:majorGridlines/>
        <c:title>
          <c:tx>
            <c:rich>
              <a:bodyPr rot="-5400000" vert="horz"/>
              <a:lstStyle/>
              <a:p>
                <a:pPr>
                  <a:defRPr sz="1100"/>
                </a:pPr>
                <a:r>
                  <a:rPr lang="en-US" sz="1100"/>
                  <a:t>Cell Number</a:t>
                </a:r>
              </a:p>
            </c:rich>
          </c:tx>
          <c:overlay val="0"/>
        </c:title>
        <c:numFmt formatCode="General" sourceLinked="1"/>
        <c:majorTickMark val="out"/>
        <c:minorTickMark val="none"/>
        <c:tickLblPos val="nextTo"/>
        <c:txPr>
          <a:bodyPr/>
          <a:lstStyle/>
          <a:p>
            <a:pPr>
              <a:defRPr sz="900"/>
            </a:pPr>
            <a:endParaRPr lang="en-US"/>
          </a:p>
        </c:txPr>
        <c:crossAx val="82780160"/>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0.14583</cdr:x>
      <cdr:y>0.78069</cdr:y>
    </cdr:from>
    <cdr:to>
      <cdr:x>1</cdr:x>
      <cdr:y>1</cdr:y>
    </cdr:to>
    <cdr:sp macro="" textlink="">
      <cdr:nvSpPr>
        <cdr:cNvPr id="2" name="Text Box 1"/>
        <cdr:cNvSpPr txBox="1"/>
      </cdr:nvSpPr>
      <cdr:spPr>
        <a:xfrm xmlns:a="http://schemas.openxmlformats.org/drawingml/2006/main">
          <a:off x="800100" y="2023533"/>
          <a:ext cx="46863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0.20833</cdr:x>
      <cdr:y>0.09341</cdr:y>
    </cdr:from>
    <cdr:to>
      <cdr:x>0.39583</cdr:x>
      <cdr:y>0.25789</cdr:y>
    </cdr:to>
    <cdr:sp macro="" textlink="">
      <cdr:nvSpPr>
        <cdr:cNvPr id="3" name="Text Box 2"/>
        <cdr:cNvSpPr txBox="1"/>
      </cdr:nvSpPr>
      <cdr:spPr>
        <a:xfrm xmlns:a="http://schemas.openxmlformats.org/drawingml/2006/main">
          <a:off x="1143000" y="194733"/>
          <a:ext cx="10287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MCF7</a:t>
          </a:r>
        </a:p>
      </cdr:txBody>
    </cdr:sp>
  </cdr:relSizeAnchor>
  <cdr:relSizeAnchor xmlns:cdr="http://schemas.openxmlformats.org/drawingml/2006/chartDrawing">
    <cdr:from>
      <cdr:x>0.83333</cdr:x>
      <cdr:y>0.42238</cdr:y>
    </cdr:from>
    <cdr:to>
      <cdr:x>1</cdr:x>
      <cdr:y>0.861</cdr:y>
    </cdr:to>
    <cdr:sp macro="" textlink="">
      <cdr:nvSpPr>
        <cdr:cNvPr id="4" name="Text Box 3"/>
        <cdr:cNvSpPr txBox="1"/>
      </cdr:nvSpPr>
      <cdr:spPr>
        <a:xfrm xmlns:a="http://schemas.openxmlformats.org/drawingml/2006/main">
          <a:off x="5143500" y="88053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0.8125</cdr:x>
      <cdr:y>0.58686</cdr:y>
    </cdr:from>
    <cdr:to>
      <cdr:x>0.97917</cdr:x>
      <cdr:y>0.861</cdr:y>
    </cdr:to>
    <cdr:sp macro="" textlink="">
      <cdr:nvSpPr>
        <cdr:cNvPr id="5" name="Text Box 4"/>
        <cdr:cNvSpPr txBox="1"/>
      </cdr:nvSpPr>
      <cdr:spPr>
        <a:xfrm xmlns:a="http://schemas.openxmlformats.org/drawingml/2006/main">
          <a:off x="4457700" y="1223433"/>
          <a:ext cx="914400" cy="571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0.77083</cdr:x>
      <cdr:y>0.09341</cdr:y>
    </cdr:from>
    <cdr:to>
      <cdr:x>0.91667</cdr:x>
      <cdr:y>0.25789</cdr:y>
    </cdr:to>
    <cdr:sp macro="" textlink="">
      <cdr:nvSpPr>
        <cdr:cNvPr id="6" name="Text Box 5"/>
        <cdr:cNvSpPr txBox="1"/>
      </cdr:nvSpPr>
      <cdr:spPr>
        <a:xfrm xmlns:a="http://schemas.openxmlformats.org/drawingml/2006/main">
          <a:off x="4229100" y="194733"/>
          <a:ext cx="8001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Hs578T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Krucher</dc:creator>
  <cp:lastModifiedBy>Maria</cp:lastModifiedBy>
  <cp:revision>2</cp:revision>
  <dcterms:created xsi:type="dcterms:W3CDTF">2014-07-30T18:50:00Z</dcterms:created>
  <dcterms:modified xsi:type="dcterms:W3CDTF">2014-07-30T18:50:00Z</dcterms:modified>
</cp:coreProperties>
</file>